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46036" w14:textId="65246FC2" w:rsidR="00210E36" w:rsidRPr="00BC32D5" w:rsidRDefault="00C013DC">
      <w:pPr>
        <w:pStyle w:val="BodyText"/>
        <w:spacing w:before="47"/>
        <w:ind w:left="107"/>
      </w:pPr>
      <w:r w:rsidRPr="00BC32D5">
        <w:t>REQUIREMENT M47</w:t>
      </w:r>
      <w:r w:rsidR="00755CD0" w:rsidRPr="00BC32D5">
        <w:tab/>
      </w:r>
      <w:r w:rsidR="00755CD0" w:rsidRPr="00BC32D5">
        <w:tab/>
      </w:r>
      <w:r w:rsidR="00755CD0" w:rsidRPr="00BC32D5">
        <w:tab/>
      </w:r>
      <w:r w:rsidR="00755CD0" w:rsidRPr="00BC32D5">
        <w:tab/>
      </w:r>
      <w:r w:rsidR="00755CD0" w:rsidRPr="00BC32D5">
        <w:tab/>
      </w:r>
      <w:r w:rsidR="00755CD0" w:rsidRPr="00BC32D5">
        <w:tab/>
      </w:r>
      <w:r w:rsidR="00755CD0" w:rsidRPr="00BC32D5">
        <w:tab/>
      </w:r>
      <w:r w:rsidR="00755CD0" w:rsidRPr="00BC32D5">
        <w:tab/>
      </w:r>
      <w:r w:rsidR="00755CD0" w:rsidRPr="00BC32D5">
        <w:tab/>
      </w:r>
      <w:r w:rsidR="00755CD0" w:rsidRPr="00BC32D5">
        <w:tab/>
      </w:r>
      <w:r w:rsidR="00755CD0" w:rsidRPr="00BC32D5">
        <w:tab/>
        <w:t>20210</w:t>
      </w:r>
      <w:r w:rsidR="008A158B">
        <w:t>830</w:t>
      </w:r>
    </w:p>
    <w:p w14:paraId="59FBE888" w14:textId="77777777" w:rsidR="00210E36" w:rsidRPr="00BC32D5" w:rsidRDefault="00210E36">
      <w:pPr>
        <w:rPr>
          <w:b/>
          <w:sz w:val="20"/>
        </w:rPr>
      </w:pPr>
    </w:p>
    <w:p w14:paraId="30149F58" w14:textId="77777777" w:rsidR="00210E36" w:rsidRPr="00BC32D5" w:rsidRDefault="00210E36">
      <w:pPr>
        <w:rPr>
          <w:b/>
          <w:sz w:val="20"/>
        </w:rPr>
      </w:pPr>
    </w:p>
    <w:p w14:paraId="2231C910" w14:textId="77777777" w:rsidR="00210E36" w:rsidRPr="00BC32D5" w:rsidRDefault="00210E36">
      <w:pPr>
        <w:rPr>
          <w:b/>
          <w:sz w:val="20"/>
        </w:rPr>
      </w:pPr>
    </w:p>
    <w:p w14:paraId="250DD6C9" w14:textId="77777777" w:rsidR="00A4484E" w:rsidRDefault="00C013DC" w:rsidP="00A4484E">
      <w:pPr>
        <w:pStyle w:val="BodyText"/>
        <w:spacing w:before="129"/>
        <w:ind w:left="107" w:right="1845" w:firstLine="1756"/>
      </w:pPr>
      <w:r w:rsidRPr="00BC32D5">
        <w:t xml:space="preserve">GOVERNMENT ACQUISITION OF COMMERCIAL ITEMS (FAR PART 12) </w:t>
      </w:r>
    </w:p>
    <w:p w14:paraId="6AFB3956" w14:textId="7E5A71B1" w:rsidR="00210E36" w:rsidRDefault="00C013DC" w:rsidP="00A4484E">
      <w:pPr>
        <w:pStyle w:val="BodyText"/>
        <w:spacing w:before="129"/>
        <w:ind w:left="107" w:right="1845"/>
      </w:pPr>
      <w:bookmarkStart w:id="0" w:name="_Hlk72791516"/>
      <w:r w:rsidRPr="00BC32D5">
        <w:t>APPLIES ONLY TO: CFM56-2A, -2B, -7B; CF6-50C, -50E, 80C2; GEnX-2B</w:t>
      </w:r>
      <w:r w:rsidR="00A4484E">
        <w:t xml:space="preserve"> AND PARTS COMMON TO THESE ENGINES LINES AND OTHER ENGINE LINES</w:t>
      </w:r>
      <w:bookmarkEnd w:id="0"/>
    </w:p>
    <w:p w14:paraId="22145FEB" w14:textId="77777777" w:rsidR="00A4484E" w:rsidRPr="00BC32D5" w:rsidRDefault="00A4484E" w:rsidP="00A4484E">
      <w:pPr>
        <w:pStyle w:val="BodyText"/>
        <w:spacing w:before="129"/>
        <w:ind w:left="107" w:right="1845" w:firstLine="1756"/>
      </w:pPr>
    </w:p>
    <w:p w14:paraId="42D37FDE" w14:textId="57D33744" w:rsidR="00210E36" w:rsidRPr="00BC32D5" w:rsidRDefault="00C013DC">
      <w:pPr>
        <w:pStyle w:val="BodyText"/>
        <w:spacing w:before="2"/>
        <w:ind w:left="107"/>
      </w:pPr>
      <w:bookmarkStart w:id="1" w:name="_Hlk71838295"/>
      <w:r w:rsidRPr="00BC32D5">
        <w:t xml:space="preserve">THIS IS A PURCHASE THAT MAY BE USED TO FULFILL A US GOVERNMENT CONTRACT. </w:t>
      </w:r>
      <w:bookmarkEnd w:id="1"/>
      <w:r w:rsidRPr="00BC32D5">
        <w:t>THE FOLLOWING FEDERAL ACQUISITION REGULATION (FAR) and DFARS PART 12 CLAUSES APPLY AS INDICATED:</w:t>
      </w:r>
    </w:p>
    <w:p w14:paraId="46DD4994" w14:textId="77777777" w:rsidR="00210E36" w:rsidRPr="00BC32D5" w:rsidRDefault="00210E36">
      <w:pPr>
        <w:rPr>
          <w:b/>
          <w:sz w:val="20"/>
        </w:rPr>
      </w:pPr>
    </w:p>
    <w:p w14:paraId="325C9C1E" w14:textId="77777777" w:rsidR="00210E36" w:rsidRPr="00BC32D5" w:rsidRDefault="00210E36">
      <w:pPr>
        <w:spacing w:before="5" w:after="1"/>
        <w:rPr>
          <w:b/>
          <w:sz w:val="1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84"/>
        <w:gridCol w:w="8859"/>
      </w:tblGrid>
      <w:tr w:rsidR="00210E36" w:rsidRPr="00BC32D5" w14:paraId="724AEC99" w14:textId="77777777" w:rsidTr="00062443">
        <w:trPr>
          <w:trHeight w:val="194"/>
        </w:trPr>
        <w:tc>
          <w:tcPr>
            <w:tcW w:w="1284" w:type="dxa"/>
          </w:tcPr>
          <w:p w14:paraId="25DDED36" w14:textId="77777777" w:rsidR="00210E36" w:rsidRPr="00BC32D5" w:rsidRDefault="00C013DC">
            <w:pPr>
              <w:pStyle w:val="TableParagraph"/>
              <w:spacing w:line="174" w:lineRule="exact"/>
              <w:rPr>
                <w:sz w:val="18"/>
              </w:rPr>
            </w:pPr>
            <w:r w:rsidRPr="00BC32D5">
              <w:rPr>
                <w:sz w:val="18"/>
              </w:rPr>
              <w:t>52.203-12</w:t>
            </w:r>
          </w:p>
        </w:tc>
        <w:tc>
          <w:tcPr>
            <w:tcW w:w="8859" w:type="dxa"/>
          </w:tcPr>
          <w:p w14:paraId="4DE200F1" w14:textId="5ABBB627" w:rsidR="00210E36" w:rsidRPr="00BC32D5" w:rsidRDefault="00C013DC" w:rsidP="00062443">
            <w:pPr>
              <w:pStyle w:val="TableParagraph"/>
              <w:ind w:left="121"/>
              <w:rPr>
                <w:sz w:val="18"/>
              </w:rPr>
            </w:pPr>
            <w:r w:rsidRPr="00BC32D5">
              <w:rPr>
                <w:sz w:val="18"/>
              </w:rPr>
              <w:t xml:space="preserve">LIMITATION ON PAYMENTS TO INFLUENCE CERTAIN FEDERAL TRANSACTIONS </w:t>
            </w:r>
            <w:r w:rsidRPr="00E95549">
              <w:rPr>
                <w:sz w:val="18"/>
                <w:szCs w:val="18"/>
              </w:rPr>
              <w:t>(</w:t>
            </w:r>
            <w:r w:rsidR="00E95549" w:rsidRPr="00E95549">
              <w:rPr>
                <w:spacing w:val="1"/>
                <w:sz w:val="18"/>
                <w:szCs w:val="18"/>
              </w:rPr>
              <w:t>A</w:t>
            </w:r>
            <w:r w:rsidR="00E95549" w:rsidRPr="00E95549">
              <w:rPr>
                <w:spacing w:val="-1"/>
                <w:sz w:val="18"/>
                <w:szCs w:val="18"/>
              </w:rPr>
              <w:t>p</w:t>
            </w:r>
            <w:r w:rsidR="00E95549" w:rsidRPr="00E95549">
              <w:rPr>
                <w:spacing w:val="1"/>
                <w:sz w:val="18"/>
                <w:szCs w:val="18"/>
              </w:rPr>
              <w:t>p</w:t>
            </w:r>
            <w:r w:rsidR="00E95549" w:rsidRPr="00E95549">
              <w:rPr>
                <w:spacing w:val="-3"/>
                <w:sz w:val="18"/>
                <w:szCs w:val="18"/>
              </w:rPr>
              <w:t>l</w:t>
            </w:r>
            <w:r w:rsidR="00E95549" w:rsidRPr="00E95549">
              <w:rPr>
                <w:sz w:val="18"/>
                <w:szCs w:val="18"/>
              </w:rPr>
              <w:t>i</w:t>
            </w:r>
            <w:r w:rsidR="00E95549" w:rsidRPr="00E95549">
              <w:rPr>
                <w:spacing w:val="1"/>
                <w:sz w:val="18"/>
                <w:szCs w:val="18"/>
              </w:rPr>
              <w:t>e</w:t>
            </w:r>
            <w:r w:rsidR="00E95549" w:rsidRPr="00E95549">
              <w:rPr>
                <w:sz w:val="18"/>
                <w:szCs w:val="18"/>
              </w:rPr>
              <w:t>s</w:t>
            </w:r>
            <w:r w:rsidR="00E95549" w:rsidRPr="00E95549">
              <w:rPr>
                <w:spacing w:val="14"/>
                <w:sz w:val="18"/>
                <w:szCs w:val="18"/>
              </w:rPr>
              <w:t xml:space="preserve"> </w:t>
            </w:r>
            <w:r w:rsidR="00E95549" w:rsidRPr="00E95549">
              <w:rPr>
                <w:spacing w:val="1"/>
                <w:sz w:val="18"/>
                <w:szCs w:val="18"/>
              </w:rPr>
              <w:t>whe</w:t>
            </w:r>
            <w:r w:rsidR="00E95549" w:rsidRPr="00E95549">
              <w:rPr>
                <w:sz w:val="18"/>
                <w:szCs w:val="18"/>
              </w:rPr>
              <w:t>n</w:t>
            </w:r>
            <w:r w:rsidR="00E95549" w:rsidRPr="00E95549">
              <w:rPr>
                <w:spacing w:val="10"/>
                <w:sz w:val="18"/>
                <w:szCs w:val="18"/>
              </w:rPr>
              <w:t xml:space="preserve"> </w:t>
            </w:r>
            <w:r w:rsidR="00E95549" w:rsidRPr="00E95549">
              <w:rPr>
                <w:spacing w:val="-1"/>
                <w:w w:val="102"/>
                <w:sz w:val="18"/>
                <w:szCs w:val="18"/>
              </w:rPr>
              <w:t>t</w:t>
            </w:r>
            <w:r w:rsidR="00E95549" w:rsidRPr="00E95549">
              <w:rPr>
                <w:spacing w:val="1"/>
                <w:w w:val="102"/>
                <w:sz w:val="18"/>
                <w:szCs w:val="18"/>
              </w:rPr>
              <w:t>h</w:t>
            </w:r>
            <w:r w:rsidR="00E95549" w:rsidRPr="00E95549">
              <w:rPr>
                <w:w w:val="102"/>
                <w:sz w:val="18"/>
                <w:szCs w:val="18"/>
              </w:rPr>
              <w:t>e</w:t>
            </w:r>
            <w:r w:rsidR="00E95549" w:rsidRPr="00E95549">
              <w:rPr>
                <w:spacing w:val="1"/>
                <w:sz w:val="18"/>
                <w:szCs w:val="18"/>
              </w:rPr>
              <w:t xml:space="preserve"> O</w:t>
            </w:r>
            <w:r w:rsidR="00E95549" w:rsidRPr="00E95549">
              <w:rPr>
                <w:spacing w:val="-1"/>
                <w:sz w:val="18"/>
                <w:szCs w:val="18"/>
              </w:rPr>
              <w:t>r</w:t>
            </w:r>
            <w:r w:rsidR="00E95549" w:rsidRPr="00E95549">
              <w:rPr>
                <w:spacing w:val="1"/>
                <w:sz w:val="18"/>
                <w:szCs w:val="18"/>
              </w:rPr>
              <w:t>de</w:t>
            </w:r>
            <w:r w:rsidR="00E95549" w:rsidRPr="00E95549">
              <w:rPr>
                <w:sz w:val="18"/>
                <w:szCs w:val="18"/>
              </w:rPr>
              <w:t>r</w:t>
            </w:r>
            <w:r w:rsidR="00E95549" w:rsidRPr="00E95549">
              <w:rPr>
                <w:spacing w:val="9"/>
                <w:sz w:val="18"/>
                <w:szCs w:val="18"/>
              </w:rPr>
              <w:t xml:space="preserve"> </w:t>
            </w:r>
            <w:r w:rsidR="00E95549" w:rsidRPr="00E95549">
              <w:rPr>
                <w:spacing w:val="1"/>
                <w:sz w:val="18"/>
                <w:szCs w:val="18"/>
              </w:rPr>
              <w:t>e</w:t>
            </w:r>
            <w:r w:rsidR="00E95549" w:rsidRPr="00E95549">
              <w:rPr>
                <w:spacing w:val="-4"/>
                <w:sz w:val="18"/>
                <w:szCs w:val="18"/>
              </w:rPr>
              <w:t>x</w:t>
            </w:r>
            <w:r w:rsidR="00E95549" w:rsidRPr="00E95549">
              <w:rPr>
                <w:spacing w:val="1"/>
                <w:sz w:val="18"/>
                <w:szCs w:val="18"/>
              </w:rPr>
              <w:t>cee</w:t>
            </w:r>
            <w:r w:rsidR="00E95549" w:rsidRPr="00E95549">
              <w:rPr>
                <w:spacing w:val="-1"/>
                <w:sz w:val="18"/>
                <w:szCs w:val="18"/>
              </w:rPr>
              <w:t>d</w:t>
            </w:r>
            <w:r w:rsidR="00E95549" w:rsidRPr="00E95549">
              <w:rPr>
                <w:sz w:val="18"/>
                <w:szCs w:val="18"/>
              </w:rPr>
              <w:t>s</w:t>
            </w:r>
            <w:r w:rsidR="00E95549" w:rsidRPr="00E95549">
              <w:rPr>
                <w:spacing w:val="15"/>
                <w:sz w:val="18"/>
                <w:szCs w:val="18"/>
              </w:rPr>
              <w:t xml:space="preserve"> the threshold specified in FAR 3.808 on the date of award</w:t>
            </w:r>
            <w:r w:rsidR="00062443" w:rsidRPr="00E95549">
              <w:rPr>
                <w:sz w:val="18"/>
                <w:szCs w:val="18"/>
              </w:rPr>
              <w:t>)</w:t>
            </w:r>
          </w:p>
        </w:tc>
      </w:tr>
      <w:tr w:rsidR="00210E36" w:rsidRPr="00BC32D5" w14:paraId="233CDD4A" w14:textId="77777777" w:rsidTr="00062443">
        <w:trPr>
          <w:trHeight w:val="206"/>
        </w:trPr>
        <w:tc>
          <w:tcPr>
            <w:tcW w:w="1284" w:type="dxa"/>
          </w:tcPr>
          <w:p w14:paraId="39A53223" w14:textId="77777777" w:rsidR="00210E36" w:rsidRPr="00BC32D5" w:rsidRDefault="00C013DC">
            <w:pPr>
              <w:pStyle w:val="TableParagraph"/>
              <w:spacing w:line="186" w:lineRule="exact"/>
              <w:rPr>
                <w:sz w:val="18"/>
              </w:rPr>
            </w:pPr>
            <w:r w:rsidRPr="00BC32D5">
              <w:rPr>
                <w:sz w:val="18"/>
              </w:rPr>
              <w:t>52.203-13</w:t>
            </w:r>
          </w:p>
        </w:tc>
        <w:tc>
          <w:tcPr>
            <w:tcW w:w="8859" w:type="dxa"/>
          </w:tcPr>
          <w:p w14:paraId="11812A35" w14:textId="66AD9AE9" w:rsidR="00210E36" w:rsidRPr="00BC32D5" w:rsidRDefault="00C013DC" w:rsidP="00062443">
            <w:pPr>
              <w:pStyle w:val="TableParagraph"/>
              <w:ind w:left="121"/>
              <w:rPr>
                <w:sz w:val="18"/>
              </w:rPr>
            </w:pPr>
            <w:r w:rsidRPr="00BC32D5">
              <w:rPr>
                <w:sz w:val="18"/>
              </w:rPr>
              <w:t>CONTRACTOR CODE OF BUSINESS ETHICS AND CONDUCT (Applies when the Order exceeds</w:t>
            </w:r>
            <w:r w:rsidR="00062443" w:rsidRPr="00BC32D5">
              <w:rPr>
                <w:sz w:val="18"/>
              </w:rPr>
              <w:t xml:space="preserve"> </w:t>
            </w:r>
            <w:r w:rsidR="009F69F1" w:rsidRPr="00BC32D5">
              <w:rPr>
                <w:sz w:val="18"/>
              </w:rPr>
              <w:t>the threshold in FAR 3.1004(a)</w:t>
            </w:r>
            <w:r w:rsidR="00062443" w:rsidRPr="00BC32D5">
              <w:rPr>
                <w:sz w:val="18"/>
              </w:rPr>
              <w:t xml:space="preserve"> and the period of performance </w:t>
            </w:r>
            <w:r w:rsidR="009F69F1" w:rsidRPr="00BC32D5">
              <w:rPr>
                <w:sz w:val="18"/>
              </w:rPr>
              <w:t>is</w:t>
            </w:r>
            <w:r w:rsidR="00062443" w:rsidRPr="00BC32D5">
              <w:rPr>
                <w:sz w:val="18"/>
              </w:rPr>
              <w:t xml:space="preserve"> 120 days</w:t>
            </w:r>
            <w:r w:rsidR="009F69F1" w:rsidRPr="00BC32D5">
              <w:rPr>
                <w:sz w:val="18"/>
              </w:rPr>
              <w:t xml:space="preserve"> or more</w:t>
            </w:r>
            <w:r w:rsidR="00062443" w:rsidRPr="00BC32D5">
              <w:rPr>
                <w:sz w:val="18"/>
              </w:rPr>
              <w:t>)</w:t>
            </w:r>
          </w:p>
        </w:tc>
      </w:tr>
      <w:tr w:rsidR="00210E36" w:rsidRPr="00A4484E" w14:paraId="503D3FC0" w14:textId="77777777" w:rsidTr="00062443">
        <w:trPr>
          <w:trHeight w:val="412"/>
        </w:trPr>
        <w:tc>
          <w:tcPr>
            <w:tcW w:w="1284" w:type="dxa"/>
          </w:tcPr>
          <w:p w14:paraId="710235E6" w14:textId="77777777" w:rsidR="00210E36" w:rsidRPr="00BC32D5" w:rsidRDefault="00210E36" w:rsidP="00EC770C">
            <w:pPr>
              <w:pStyle w:val="TableParagraph"/>
              <w:spacing w:before="7"/>
              <w:ind w:left="43"/>
              <w:rPr>
                <w:b/>
                <w:sz w:val="18"/>
                <w:szCs w:val="18"/>
              </w:rPr>
            </w:pPr>
          </w:p>
          <w:p w14:paraId="7CDAA679" w14:textId="7A5971FD" w:rsidR="00210E36" w:rsidRPr="00A4484E" w:rsidRDefault="00C013DC" w:rsidP="00EC770C">
            <w:pPr>
              <w:pStyle w:val="TableParagraph"/>
              <w:spacing w:line="201" w:lineRule="exact"/>
              <w:ind w:left="43"/>
              <w:rPr>
                <w:sz w:val="18"/>
                <w:szCs w:val="18"/>
              </w:rPr>
            </w:pPr>
            <w:r w:rsidRPr="00A4484E">
              <w:rPr>
                <w:sz w:val="18"/>
                <w:szCs w:val="18"/>
              </w:rPr>
              <w:t>52.204-21</w:t>
            </w:r>
          </w:p>
        </w:tc>
        <w:tc>
          <w:tcPr>
            <w:tcW w:w="8859" w:type="dxa"/>
          </w:tcPr>
          <w:p w14:paraId="5F9AC9D1" w14:textId="676FAB90" w:rsidR="00210E36" w:rsidRPr="00A4484E" w:rsidRDefault="00C013DC" w:rsidP="00352018">
            <w:pPr>
              <w:pStyle w:val="TableParagraph"/>
              <w:ind w:left="115"/>
              <w:rPr>
                <w:sz w:val="18"/>
                <w:szCs w:val="18"/>
              </w:rPr>
            </w:pPr>
            <w:r w:rsidRPr="00A4484E">
              <w:rPr>
                <w:sz w:val="18"/>
                <w:szCs w:val="18"/>
              </w:rPr>
              <w:t>BASIC SAFEGUARDING OF CONTRACTOR INFORMATION SYSTEMS (Applies only if Seller is</w:t>
            </w:r>
            <w:r w:rsidR="00062443" w:rsidRPr="00A4484E">
              <w:rPr>
                <w:sz w:val="18"/>
                <w:szCs w:val="18"/>
              </w:rPr>
              <w:t xml:space="preserve"> providing an item that is not commercially available off-the-shelf and has federal contract information residing in or passing through its IT system)</w:t>
            </w:r>
          </w:p>
        </w:tc>
      </w:tr>
      <w:tr w:rsidR="00474FA1" w:rsidRPr="00A4484E" w14:paraId="40626080" w14:textId="77777777" w:rsidTr="00062443">
        <w:trPr>
          <w:trHeight w:val="412"/>
        </w:trPr>
        <w:tc>
          <w:tcPr>
            <w:tcW w:w="1284" w:type="dxa"/>
          </w:tcPr>
          <w:p w14:paraId="5735555F" w14:textId="562F944F" w:rsidR="00474FA1" w:rsidRPr="00A4484E" w:rsidRDefault="00474FA1" w:rsidP="00EC770C">
            <w:pPr>
              <w:pStyle w:val="TableParagraph"/>
              <w:spacing w:before="7"/>
              <w:ind w:left="43"/>
              <w:rPr>
                <w:b/>
                <w:sz w:val="18"/>
                <w:szCs w:val="18"/>
              </w:rPr>
            </w:pPr>
            <w:bookmarkStart w:id="2" w:name="_Hlk70947226"/>
            <w:r w:rsidRPr="00A4484E">
              <w:rPr>
                <w:sz w:val="18"/>
                <w:szCs w:val="18"/>
              </w:rPr>
              <w:t>52.204-23</w:t>
            </w:r>
          </w:p>
        </w:tc>
        <w:tc>
          <w:tcPr>
            <w:tcW w:w="8859" w:type="dxa"/>
          </w:tcPr>
          <w:p w14:paraId="34190F07" w14:textId="38CD2C76" w:rsidR="00474FA1" w:rsidRPr="00A4484E" w:rsidRDefault="00EC770C" w:rsidP="00352018">
            <w:pPr>
              <w:pStyle w:val="Heading2"/>
              <w:shd w:val="clear" w:color="auto" w:fill="FFFFFF"/>
              <w:spacing w:before="0"/>
              <w:ind w:left="115"/>
              <w:rPr>
                <w:rFonts w:ascii="Arial" w:eastAsia="Times New Roman" w:hAnsi="Arial" w:cs="Arial"/>
                <w:caps/>
                <w:color w:val="000000"/>
                <w:sz w:val="18"/>
                <w:szCs w:val="18"/>
              </w:rPr>
            </w:pPr>
            <w:r w:rsidRPr="00A4484E">
              <w:rPr>
                <w:rFonts w:ascii="Arial" w:hAnsi="Arial" w:cs="Arial"/>
                <w:caps/>
                <w:color w:val="000000"/>
                <w:sz w:val="18"/>
                <w:szCs w:val="18"/>
              </w:rPr>
              <w:t>Prohibition on Contracting for Hardware, Software, and Services Developed or Provided by Kaspersky Lab and Other Covered Entities</w:t>
            </w:r>
          </w:p>
        </w:tc>
      </w:tr>
      <w:tr w:rsidR="00474FA1" w:rsidRPr="00BC32D5" w14:paraId="329B80FE" w14:textId="77777777" w:rsidTr="00062443">
        <w:trPr>
          <w:trHeight w:val="412"/>
        </w:trPr>
        <w:tc>
          <w:tcPr>
            <w:tcW w:w="1284" w:type="dxa"/>
          </w:tcPr>
          <w:p w14:paraId="6B054DC6" w14:textId="2D99D8FB" w:rsidR="00474FA1" w:rsidRPr="00A4484E" w:rsidRDefault="00474FA1" w:rsidP="00EC770C">
            <w:pPr>
              <w:pStyle w:val="TableParagraph"/>
              <w:spacing w:before="7"/>
              <w:ind w:left="43"/>
              <w:rPr>
                <w:b/>
                <w:sz w:val="18"/>
                <w:szCs w:val="18"/>
              </w:rPr>
            </w:pPr>
            <w:r w:rsidRPr="00A4484E">
              <w:rPr>
                <w:sz w:val="18"/>
                <w:szCs w:val="18"/>
              </w:rPr>
              <w:t>52.204-25</w:t>
            </w:r>
          </w:p>
        </w:tc>
        <w:tc>
          <w:tcPr>
            <w:tcW w:w="8859" w:type="dxa"/>
          </w:tcPr>
          <w:p w14:paraId="4585A1C3" w14:textId="2CE8FC22" w:rsidR="00474FA1" w:rsidRPr="00A4484E" w:rsidRDefault="00EC770C" w:rsidP="00352018">
            <w:pPr>
              <w:pStyle w:val="TableParagraph"/>
              <w:ind w:left="115"/>
              <w:rPr>
                <w:caps/>
                <w:sz w:val="18"/>
                <w:szCs w:val="18"/>
              </w:rPr>
            </w:pPr>
            <w:r w:rsidRPr="00A4484E">
              <w:rPr>
                <w:caps/>
                <w:color w:val="000000"/>
                <w:sz w:val="18"/>
                <w:szCs w:val="18"/>
                <w:shd w:val="clear" w:color="auto" w:fill="FFFFFF"/>
              </w:rPr>
              <w:t>Prohibition on Contracting for Certain Telecommunications and Video Surveillance Services or Equipment</w:t>
            </w:r>
            <w:r w:rsidR="00943AF6" w:rsidRPr="00A4484E">
              <w:rPr>
                <w:caps/>
                <w:color w:val="000000"/>
                <w:sz w:val="18"/>
                <w:szCs w:val="18"/>
                <w:shd w:val="clear" w:color="auto" w:fill="FFFFFF"/>
              </w:rPr>
              <w:t xml:space="preserve"> </w:t>
            </w:r>
            <w:r w:rsidR="00943AF6" w:rsidRPr="00A4484E">
              <w:rPr>
                <w:color w:val="000000"/>
                <w:sz w:val="18"/>
                <w:szCs w:val="18"/>
                <w:shd w:val="clear" w:color="auto" w:fill="FFFFFF"/>
              </w:rPr>
              <w:t>(Paragraph (b)(2) does not flow down)</w:t>
            </w:r>
          </w:p>
        </w:tc>
      </w:tr>
      <w:tr w:rsidR="00720C43" w:rsidRPr="00BC32D5" w14:paraId="16A0D9CA" w14:textId="77777777" w:rsidTr="00720C43">
        <w:trPr>
          <w:trHeight w:val="412"/>
        </w:trPr>
        <w:tc>
          <w:tcPr>
            <w:tcW w:w="1284" w:type="dxa"/>
            <w:tcBorders>
              <w:top w:val="single" w:sz="4" w:space="0" w:color="auto"/>
              <w:left w:val="single" w:sz="4" w:space="0" w:color="auto"/>
              <w:bottom w:val="single" w:sz="4" w:space="0" w:color="auto"/>
              <w:right w:val="single" w:sz="4" w:space="0" w:color="auto"/>
            </w:tcBorders>
          </w:tcPr>
          <w:p w14:paraId="0158F97A" w14:textId="33CFE889" w:rsidR="00720C43" w:rsidRPr="00BC32D5" w:rsidRDefault="00720C43" w:rsidP="00720C43">
            <w:pPr>
              <w:pStyle w:val="TableParagraph"/>
              <w:spacing w:before="7"/>
              <w:ind w:left="43"/>
              <w:rPr>
                <w:sz w:val="18"/>
                <w:szCs w:val="18"/>
              </w:rPr>
            </w:pPr>
            <w:r w:rsidRPr="00BC32D5">
              <w:rPr>
                <w:sz w:val="18"/>
                <w:szCs w:val="18"/>
              </w:rPr>
              <w:t>52.219-8</w:t>
            </w:r>
            <w:r w:rsidRPr="00BC32D5">
              <w:rPr>
                <w:sz w:val="18"/>
                <w:szCs w:val="18"/>
                <w:vertAlign w:val="superscript"/>
              </w:rPr>
              <w:t>2</w:t>
            </w:r>
          </w:p>
        </w:tc>
        <w:tc>
          <w:tcPr>
            <w:tcW w:w="8859" w:type="dxa"/>
            <w:tcBorders>
              <w:top w:val="single" w:sz="4" w:space="0" w:color="auto"/>
              <w:left w:val="single" w:sz="4" w:space="0" w:color="auto"/>
              <w:bottom w:val="single" w:sz="4" w:space="0" w:color="auto"/>
              <w:right w:val="single" w:sz="4" w:space="0" w:color="auto"/>
            </w:tcBorders>
          </w:tcPr>
          <w:p w14:paraId="4D677FDB" w14:textId="77777777" w:rsidR="00720C43" w:rsidRPr="00BC32D5" w:rsidRDefault="00720C43" w:rsidP="00720C43">
            <w:pPr>
              <w:pStyle w:val="TableParagraph"/>
              <w:ind w:left="115"/>
              <w:rPr>
                <w:caps/>
                <w:color w:val="000000"/>
                <w:sz w:val="18"/>
                <w:szCs w:val="18"/>
                <w:shd w:val="clear" w:color="auto" w:fill="FFFFFF"/>
              </w:rPr>
            </w:pPr>
            <w:r w:rsidRPr="00BC32D5">
              <w:rPr>
                <w:caps/>
                <w:color w:val="000000"/>
                <w:sz w:val="18"/>
                <w:szCs w:val="18"/>
                <w:shd w:val="clear" w:color="auto" w:fill="FFFFFF"/>
              </w:rPr>
              <w:t>UTILIZATION OF SMALL BUSINESS CONCERNS (Applies when the Seller will offer further subcontracting opportunities)</w:t>
            </w:r>
          </w:p>
        </w:tc>
      </w:tr>
      <w:bookmarkEnd w:id="2"/>
      <w:tr w:rsidR="00210E36" w:rsidRPr="00BC32D5" w14:paraId="04174377" w14:textId="77777777" w:rsidTr="00062443">
        <w:trPr>
          <w:trHeight w:val="221"/>
        </w:trPr>
        <w:tc>
          <w:tcPr>
            <w:tcW w:w="1284" w:type="dxa"/>
          </w:tcPr>
          <w:p w14:paraId="3B40C21B" w14:textId="77777777" w:rsidR="00210E36" w:rsidRPr="00BC32D5" w:rsidRDefault="00C013DC" w:rsidP="00062443">
            <w:pPr>
              <w:pStyle w:val="TableParagraph"/>
              <w:rPr>
                <w:sz w:val="18"/>
                <w:szCs w:val="18"/>
              </w:rPr>
            </w:pPr>
            <w:r w:rsidRPr="00BC32D5">
              <w:rPr>
                <w:sz w:val="18"/>
                <w:szCs w:val="18"/>
              </w:rPr>
              <w:t>52.222-50</w:t>
            </w:r>
          </w:p>
        </w:tc>
        <w:tc>
          <w:tcPr>
            <w:tcW w:w="8859" w:type="dxa"/>
          </w:tcPr>
          <w:p w14:paraId="3E635742" w14:textId="7A7A1EC8" w:rsidR="00210E36" w:rsidRPr="00BC32D5" w:rsidRDefault="00C013DC" w:rsidP="00062443">
            <w:pPr>
              <w:pStyle w:val="TableParagraph"/>
              <w:ind w:left="122"/>
              <w:rPr>
                <w:sz w:val="18"/>
                <w:szCs w:val="18"/>
              </w:rPr>
            </w:pPr>
            <w:r w:rsidRPr="00BC32D5">
              <w:rPr>
                <w:sz w:val="18"/>
                <w:szCs w:val="18"/>
              </w:rPr>
              <w:t xml:space="preserve">COMBATTING TRAFFICKING IN PERSONS (Paragraph (h) </w:t>
            </w:r>
            <w:r w:rsidRPr="00BC32D5">
              <w:rPr>
                <w:i/>
                <w:sz w:val="18"/>
                <w:szCs w:val="18"/>
              </w:rPr>
              <w:t>Compliance Plan</w:t>
            </w:r>
            <w:r w:rsidRPr="00BC32D5">
              <w:rPr>
                <w:sz w:val="18"/>
                <w:szCs w:val="18"/>
              </w:rPr>
              <w:t>, applies to any portion of</w:t>
            </w:r>
            <w:r w:rsidR="00062443" w:rsidRPr="00BC32D5">
              <w:rPr>
                <w:sz w:val="18"/>
                <w:szCs w:val="18"/>
              </w:rPr>
              <w:t xml:space="preserve"> the Order that: (i) is for supplies, other than commercially available off-the-shelf items, acquired outside the United States, or services to be performed outside the United States, and (ii) has an estimated value that exceeds $5</w:t>
            </w:r>
            <w:r w:rsidR="00EC770C" w:rsidRPr="00BC32D5">
              <w:rPr>
                <w:sz w:val="18"/>
                <w:szCs w:val="18"/>
              </w:rPr>
              <w:t>5</w:t>
            </w:r>
            <w:r w:rsidR="00062443" w:rsidRPr="00BC32D5">
              <w:rPr>
                <w:sz w:val="18"/>
                <w:szCs w:val="18"/>
              </w:rPr>
              <w:t>0,000)</w:t>
            </w:r>
          </w:p>
        </w:tc>
      </w:tr>
      <w:tr w:rsidR="00210E36" w:rsidRPr="00BC32D5" w14:paraId="15CA4E88" w14:textId="77777777" w:rsidTr="00062443">
        <w:trPr>
          <w:trHeight w:val="220"/>
        </w:trPr>
        <w:tc>
          <w:tcPr>
            <w:tcW w:w="1284" w:type="dxa"/>
          </w:tcPr>
          <w:p w14:paraId="433F8A9F" w14:textId="3EB8599F" w:rsidR="00210E36" w:rsidRPr="00BC32D5" w:rsidRDefault="00C013DC" w:rsidP="00062443">
            <w:pPr>
              <w:pStyle w:val="TableParagraph"/>
              <w:rPr>
                <w:sz w:val="18"/>
              </w:rPr>
            </w:pPr>
            <w:r w:rsidRPr="00BC32D5">
              <w:rPr>
                <w:sz w:val="18"/>
              </w:rPr>
              <w:t>52.222-5</w:t>
            </w:r>
            <w:r w:rsidR="00EC770C" w:rsidRPr="00BC32D5">
              <w:rPr>
                <w:sz w:val="18"/>
              </w:rPr>
              <w:t>6</w:t>
            </w:r>
          </w:p>
        </w:tc>
        <w:tc>
          <w:tcPr>
            <w:tcW w:w="8859" w:type="dxa"/>
          </w:tcPr>
          <w:p w14:paraId="77B5D571" w14:textId="0BA0BDDC" w:rsidR="00210E36" w:rsidRPr="00BC32D5" w:rsidRDefault="00C013DC" w:rsidP="00011A55">
            <w:pPr>
              <w:pStyle w:val="TableParagraph"/>
              <w:ind w:left="122"/>
              <w:rPr>
                <w:sz w:val="18"/>
                <w:szCs w:val="18"/>
              </w:rPr>
            </w:pPr>
            <w:r w:rsidRPr="00BC32D5">
              <w:rPr>
                <w:sz w:val="18"/>
                <w:szCs w:val="18"/>
              </w:rPr>
              <w:t>CERTIFICATION REGARDING TRAFFICKING IN PERSONS COMPLIANCE PLAN (Applies if it is</w:t>
            </w:r>
            <w:r w:rsidR="00062443" w:rsidRPr="00BC32D5">
              <w:rPr>
                <w:sz w:val="18"/>
                <w:szCs w:val="18"/>
              </w:rPr>
              <w:t xml:space="preserve"> possible that at least $5</w:t>
            </w:r>
            <w:r w:rsidR="005A4CCF" w:rsidRPr="00BC32D5">
              <w:rPr>
                <w:sz w:val="18"/>
                <w:szCs w:val="18"/>
              </w:rPr>
              <w:t>5</w:t>
            </w:r>
            <w:r w:rsidR="00062443" w:rsidRPr="00BC32D5">
              <w:rPr>
                <w:sz w:val="18"/>
                <w:szCs w:val="18"/>
              </w:rPr>
              <w:t>0,000 of the value of the contract may be performed outside the United States and the acquisition is not entirely for commercially available off-the-shelf items)</w:t>
            </w:r>
          </w:p>
        </w:tc>
      </w:tr>
      <w:tr w:rsidR="00210E36" w:rsidRPr="00BC32D5" w14:paraId="58A60DAE" w14:textId="77777777" w:rsidTr="00062443">
        <w:trPr>
          <w:trHeight w:val="207"/>
        </w:trPr>
        <w:tc>
          <w:tcPr>
            <w:tcW w:w="1284" w:type="dxa"/>
          </w:tcPr>
          <w:p w14:paraId="5D672860" w14:textId="77777777" w:rsidR="00210E36" w:rsidRPr="00BC32D5" w:rsidRDefault="00C013DC">
            <w:pPr>
              <w:pStyle w:val="TableParagraph"/>
              <w:spacing w:line="188" w:lineRule="exact"/>
              <w:rPr>
                <w:sz w:val="18"/>
                <w:szCs w:val="18"/>
              </w:rPr>
            </w:pPr>
            <w:r w:rsidRPr="00BC32D5">
              <w:rPr>
                <w:sz w:val="18"/>
                <w:szCs w:val="18"/>
              </w:rPr>
              <w:t>52.244-6</w:t>
            </w:r>
          </w:p>
        </w:tc>
        <w:tc>
          <w:tcPr>
            <w:tcW w:w="8859" w:type="dxa"/>
          </w:tcPr>
          <w:p w14:paraId="5984D9D8" w14:textId="77777777" w:rsidR="00210E36" w:rsidRPr="00BC32D5" w:rsidRDefault="00C013DC" w:rsidP="00011A55">
            <w:pPr>
              <w:pStyle w:val="TableParagraph"/>
              <w:ind w:left="122"/>
              <w:rPr>
                <w:sz w:val="18"/>
                <w:szCs w:val="18"/>
              </w:rPr>
            </w:pPr>
            <w:r w:rsidRPr="00BC32D5">
              <w:rPr>
                <w:sz w:val="18"/>
                <w:szCs w:val="18"/>
              </w:rPr>
              <w:t>SUBCONTRACTS FOR COMMERCIAL ITEMS</w:t>
            </w:r>
          </w:p>
        </w:tc>
      </w:tr>
      <w:tr w:rsidR="00210E36" w:rsidRPr="00BC32D5" w14:paraId="086BC74F" w14:textId="77777777" w:rsidTr="00062443">
        <w:trPr>
          <w:trHeight w:val="207"/>
        </w:trPr>
        <w:tc>
          <w:tcPr>
            <w:tcW w:w="1284" w:type="dxa"/>
          </w:tcPr>
          <w:p w14:paraId="7567C0B9" w14:textId="77777777" w:rsidR="00210E36" w:rsidRPr="00BC32D5" w:rsidRDefault="00C013DC">
            <w:pPr>
              <w:pStyle w:val="TableParagraph"/>
              <w:spacing w:line="188" w:lineRule="exact"/>
              <w:rPr>
                <w:sz w:val="18"/>
                <w:szCs w:val="18"/>
              </w:rPr>
            </w:pPr>
            <w:r w:rsidRPr="00BC32D5">
              <w:rPr>
                <w:sz w:val="18"/>
                <w:szCs w:val="18"/>
              </w:rPr>
              <w:t>52.247-64</w:t>
            </w:r>
          </w:p>
        </w:tc>
        <w:tc>
          <w:tcPr>
            <w:tcW w:w="8859" w:type="dxa"/>
          </w:tcPr>
          <w:p w14:paraId="2859645B" w14:textId="63D25F8A" w:rsidR="00210E36" w:rsidRPr="00BC32D5" w:rsidRDefault="00C013DC" w:rsidP="00011A55">
            <w:pPr>
              <w:pStyle w:val="TableParagraph"/>
              <w:ind w:left="122"/>
              <w:rPr>
                <w:sz w:val="18"/>
                <w:szCs w:val="18"/>
              </w:rPr>
            </w:pPr>
            <w:r w:rsidRPr="00BC32D5">
              <w:rPr>
                <w:sz w:val="18"/>
                <w:szCs w:val="18"/>
              </w:rPr>
              <w:t>PREFERENCE FOR PRIVATELY OWNED U.S. FLAG COMMERCIAL VESSELS (</w:t>
            </w:r>
            <w:r w:rsidR="00860702" w:rsidRPr="00BC32D5">
              <w:rPr>
                <w:sz w:val="18"/>
                <w:szCs w:val="18"/>
              </w:rPr>
              <w:t xml:space="preserve">if flow down </w:t>
            </w:r>
            <w:r w:rsidR="00860702" w:rsidRPr="00BC32D5">
              <w:rPr>
                <w:color w:val="000000"/>
                <w:sz w:val="18"/>
                <w:szCs w:val="18"/>
                <w:shd w:val="clear" w:color="auto" w:fill="FFFFFF"/>
              </w:rPr>
              <w:t>is required in accordance with paragraph (d)</w:t>
            </w:r>
            <w:r w:rsidR="002161A9" w:rsidRPr="00BC32D5">
              <w:rPr>
                <w:sz w:val="18"/>
                <w:szCs w:val="18"/>
              </w:rPr>
              <w:t>)</w:t>
            </w:r>
          </w:p>
        </w:tc>
      </w:tr>
      <w:tr w:rsidR="00210E36" w:rsidRPr="00BC32D5" w14:paraId="5D333AEF" w14:textId="77777777" w:rsidTr="00062443">
        <w:trPr>
          <w:trHeight w:val="323"/>
        </w:trPr>
        <w:tc>
          <w:tcPr>
            <w:tcW w:w="1284" w:type="dxa"/>
          </w:tcPr>
          <w:p w14:paraId="30BAB53E" w14:textId="77777777" w:rsidR="00210E36" w:rsidRPr="00BC32D5" w:rsidRDefault="00C013DC">
            <w:pPr>
              <w:pStyle w:val="TableParagraph"/>
              <w:spacing w:before="102" w:line="202" w:lineRule="exact"/>
              <w:rPr>
                <w:sz w:val="18"/>
                <w:szCs w:val="18"/>
              </w:rPr>
            </w:pPr>
            <w:r w:rsidRPr="00BC32D5">
              <w:rPr>
                <w:sz w:val="18"/>
                <w:szCs w:val="18"/>
              </w:rPr>
              <w:t>252.203-7002</w:t>
            </w:r>
          </w:p>
        </w:tc>
        <w:tc>
          <w:tcPr>
            <w:tcW w:w="8859" w:type="dxa"/>
          </w:tcPr>
          <w:p w14:paraId="05C7CDEA" w14:textId="6CA97C80" w:rsidR="00210E36" w:rsidRPr="00BC32D5" w:rsidRDefault="00C013DC" w:rsidP="00011A55">
            <w:pPr>
              <w:pStyle w:val="TableParagraph"/>
              <w:ind w:left="122"/>
              <w:rPr>
                <w:sz w:val="18"/>
                <w:szCs w:val="18"/>
              </w:rPr>
            </w:pPr>
            <w:r w:rsidRPr="00BC32D5">
              <w:rPr>
                <w:sz w:val="18"/>
                <w:szCs w:val="18"/>
              </w:rPr>
              <w:t>REQUIREMENT TO INFORM EMPLOYEES OF WHISTLEBLOWER RIGHTS (Requires Seller to notify</w:t>
            </w:r>
            <w:r w:rsidR="002161A9" w:rsidRPr="00BC32D5">
              <w:rPr>
                <w:sz w:val="18"/>
                <w:szCs w:val="18"/>
              </w:rPr>
              <w:t xml:space="preserve"> employees in writing, in predominant native language, of whistleblower rights)</w:t>
            </w:r>
          </w:p>
        </w:tc>
      </w:tr>
      <w:tr w:rsidR="00210E36" w:rsidRPr="00BC32D5" w14:paraId="2D0017E3" w14:textId="77777777" w:rsidTr="00062443">
        <w:trPr>
          <w:trHeight w:val="207"/>
        </w:trPr>
        <w:tc>
          <w:tcPr>
            <w:tcW w:w="1284" w:type="dxa"/>
          </w:tcPr>
          <w:p w14:paraId="0109CA8A" w14:textId="77777777" w:rsidR="00210E36" w:rsidRPr="00BC32D5" w:rsidRDefault="00C013DC">
            <w:pPr>
              <w:pStyle w:val="TableParagraph"/>
              <w:spacing w:line="188" w:lineRule="exact"/>
              <w:rPr>
                <w:sz w:val="18"/>
                <w:szCs w:val="18"/>
              </w:rPr>
            </w:pPr>
            <w:r w:rsidRPr="00BC32D5">
              <w:rPr>
                <w:sz w:val="18"/>
                <w:szCs w:val="18"/>
              </w:rPr>
              <w:t>252.203-7003</w:t>
            </w:r>
          </w:p>
        </w:tc>
        <w:tc>
          <w:tcPr>
            <w:tcW w:w="8859" w:type="dxa"/>
          </w:tcPr>
          <w:p w14:paraId="6FABCDB9" w14:textId="77777777" w:rsidR="00210E36" w:rsidRPr="00BC32D5" w:rsidRDefault="00C013DC" w:rsidP="00011A55">
            <w:pPr>
              <w:pStyle w:val="TableParagraph"/>
              <w:ind w:left="122"/>
              <w:rPr>
                <w:sz w:val="18"/>
                <w:szCs w:val="18"/>
              </w:rPr>
            </w:pPr>
            <w:r w:rsidRPr="00BC32D5">
              <w:rPr>
                <w:sz w:val="18"/>
                <w:szCs w:val="18"/>
              </w:rPr>
              <w:t>AGENCY OFFICE OF THE INSPECTOR GENERAL (As referenced in FAR 52.203-13)</w:t>
            </w:r>
          </w:p>
        </w:tc>
      </w:tr>
      <w:tr w:rsidR="00352018" w:rsidRPr="00BC32D5" w14:paraId="0C367514" w14:textId="77777777" w:rsidTr="00062443">
        <w:trPr>
          <w:trHeight w:val="206"/>
        </w:trPr>
        <w:tc>
          <w:tcPr>
            <w:tcW w:w="1284" w:type="dxa"/>
          </w:tcPr>
          <w:p w14:paraId="77A13135" w14:textId="77777777" w:rsidR="00352018" w:rsidRPr="00BC32D5" w:rsidRDefault="00352018" w:rsidP="00352018">
            <w:pPr>
              <w:pStyle w:val="TableParagraph"/>
              <w:spacing w:line="186" w:lineRule="exact"/>
              <w:rPr>
                <w:sz w:val="18"/>
                <w:szCs w:val="18"/>
              </w:rPr>
            </w:pPr>
            <w:r w:rsidRPr="00BC32D5">
              <w:rPr>
                <w:sz w:val="18"/>
                <w:szCs w:val="18"/>
              </w:rPr>
              <w:t>252.204-7012</w:t>
            </w:r>
          </w:p>
        </w:tc>
        <w:tc>
          <w:tcPr>
            <w:tcW w:w="8859" w:type="dxa"/>
          </w:tcPr>
          <w:p w14:paraId="7DE9C4F9" w14:textId="74627E56" w:rsidR="00352018" w:rsidRPr="00BC32D5" w:rsidRDefault="00352018" w:rsidP="00352018">
            <w:pPr>
              <w:pStyle w:val="TableParagraph"/>
              <w:ind w:left="122"/>
              <w:rPr>
                <w:sz w:val="18"/>
                <w:szCs w:val="18"/>
              </w:rPr>
            </w:pPr>
            <w:r w:rsidRPr="00BC32D5">
              <w:rPr>
                <w:sz w:val="18"/>
                <w:szCs w:val="18"/>
              </w:rPr>
              <w:t>SAFEGUARDING COVERED DEFENSE INFORMATION AND CYBER INCIDENT REPORTING (Applies when Seller has Covered Defense Information resident on or transiting through Seller’s unclassified information systems.  Seller shall also send to Purchaser all required notification to the U.S. Government)</w:t>
            </w:r>
          </w:p>
        </w:tc>
      </w:tr>
      <w:tr w:rsidR="00352018" w:rsidRPr="00BC32D5" w14:paraId="28D809E4" w14:textId="77777777" w:rsidTr="00062443">
        <w:trPr>
          <w:trHeight w:val="338"/>
        </w:trPr>
        <w:tc>
          <w:tcPr>
            <w:tcW w:w="1284" w:type="dxa"/>
          </w:tcPr>
          <w:p w14:paraId="11317692" w14:textId="77777777" w:rsidR="00352018" w:rsidRPr="00BC32D5" w:rsidRDefault="00352018" w:rsidP="00352018">
            <w:pPr>
              <w:pStyle w:val="TableParagraph"/>
              <w:spacing w:line="206" w:lineRule="exact"/>
              <w:rPr>
                <w:sz w:val="18"/>
                <w:szCs w:val="18"/>
              </w:rPr>
            </w:pPr>
            <w:r w:rsidRPr="00BC32D5">
              <w:rPr>
                <w:sz w:val="18"/>
                <w:szCs w:val="18"/>
              </w:rPr>
              <w:t>252.204-7015</w:t>
            </w:r>
          </w:p>
        </w:tc>
        <w:tc>
          <w:tcPr>
            <w:tcW w:w="8859" w:type="dxa"/>
          </w:tcPr>
          <w:p w14:paraId="319E816D" w14:textId="77777777" w:rsidR="00352018" w:rsidRPr="00BC32D5" w:rsidRDefault="00352018" w:rsidP="00352018">
            <w:pPr>
              <w:pStyle w:val="TableParagraph"/>
              <w:ind w:left="122"/>
              <w:rPr>
                <w:sz w:val="18"/>
                <w:szCs w:val="18"/>
              </w:rPr>
            </w:pPr>
            <w:r w:rsidRPr="00BC32D5">
              <w:rPr>
                <w:sz w:val="18"/>
                <w:szCs w:val="18"/>
              </w:rPr>
              <w:t>DISCLOSURE OF INFORMATION TO LITIGATION SUPPORT CONTRACTORS</w:t>
            </w:r>
          </w:p>
        </w:tc>
      </w:tr>
      <w:tr w:rsidR="00352018" w:rsidRPr="00A4484E" w14:paraId="0F1C9ECF" w14:textId="77777777" w:rsidTr="00062443">
        <w:trPr>
          <w:trHeight w:val="338"/>
        </w:trPr>
        <w:tc>
          <w:tcPr>
            <w:tcW w:w="1284" w:type="dxa"/>
          </w:tcPr>
          <w:p w14:paraId="5FA6C3DF" w14:textId="20B98EBA" w:rsidR="00352018" w:rsidRPr="00A4484E" w:rsidRDefault="00352018" w:rsidP="00352018">
            <w:pPr>
              <w:pStyle w:val="TableParagraph"/>
              <w:spacing w:line="206" w:lineRule="exact"/>
              <w:rPr>
                <w:sz w:val="18"/>
                <w:szCs w:val="18"/>
              </w:rPr>
            </w:pPr>
            <w:r w:rsidRPr="00A4484E">
              <w:rPr>
                <w:sz w:val="18"/>
                <w:szCs w:val="18"/>
              </w:rPr>
              <w:t>252.204-7018</w:t>
            </w:r>
          </w:p>
        </w:tc>
        <w:tc>
          <w:tcPr>
            <w:tcW w:w="8859" w:type="dxa"/>
          </w:tcPr>
          <w:p w14:paraId="1BB5236C" w14:textId="77777777" w:rsidR="00352018" w:rsidRPr="00A4484E" w:rsidRDefault="00352018" w:rsidP="00352018">
            <w:pPr>
              <w:pStyle w:val="TableParagraph"/>
              <w:spacing w:line="206" w:lineRule="exact"/>
              <w:ind w:left="122"/>
              <w:rPr>
                <w:sz w:val="18"/>
                <w:szCs w:val="18"/>
              </w:rPr>
            </w:pPr>
            <w:r w:rsidRPr="00A4484E">
              <w:rPr>
                <w:spacing w:val="2"/>
                <w:sz w:val="18"/>
                <w:szCs w:val="18"/>
              </w:rPr>
              <w:t>PROHIBITION ON THE ACQUISITION OF COVERED DEFENSE TELECOMMUNICATIONS EQUIPMENT OR SERVICE</w:t>
            </w:r>
          </w:p>
        </w:tc>
      </w:tr>
      <w:tr w:rsidR="00352018" w:rsidRPr="00A4484E" w14:paraId="7A995A36" w14:textId="77777777" w:rsidTr="00062443">
        <w:trPr>
          <w:trHeight w:val="207"/>
        </w:trPr>
        <w:tc>
          <w:tcPr>
            <w:tcW w:w="1284" w:type="dxa"/>
          </w:tcPr>
          <w:p w14:paraId="2C354811" w14:textId="77777777" w:rsidR="00352018" w:rsidRPr="00A4484E" w:rsidRDefault="00352018" w:rsidP="00352018">
            <w:pPr>
              <w:pStyle w:val="TableParagraph"/>
              <w:spacing w:line="188" w:lineRule="exact"/>
              <w:rPr>
                <w:sz w:val="18"/>
              </w:rPr>
            </w:pPr>
            <w:r w:rsidRPr="00A4484E">
              <w:rPr>
                <w:sz w:val="18"/>
              </w:rPr>
              <w:t>252.223-7008</w:t>
            </w:r>
          </w:p>
        </w:tc>
        <w:tc>
          <w:tcPr>
            <w:tcW w:w="8859" w:type="dxa"/>
          </w:tcPr>
          <w:p w14:paraId="131A7F7B" w14:textId="579C4804" w:rsidR="00352018" w:rsidRPr="00A4484E" w:rsidRDefault="00352018" w:rsidP="00352018">
            <w:pPr>
              <w:pStyle w:val="TableParagraph"/>
              <w:spacing w:line="188" w:lineRule="exact"/>
              <w:ind w:left="121"/>
              <w:rPr>
                <w:sz w:val="18"/>
                <w:szCs w:val="18"/>
              </w:rPr>
            </w:pPr>
            <w:r w:rsidRPr="00A4484E">
              <w:rPr>
                <w:sz w:val="18"/>
                <w:szCs w:val="18"/>
              </w:rPr>
              <w:t xml:space="preserve">PROHIBITION OF HEXAVALENT CHROMIUM (Applies when the Order is for supplies, </w:t>
            </w:r>
            <w:proofErr w:type="gramStart"/>
            <w:r w:rsidRPr="00A4484E">
              <w:rPr>
                <w:sz w:val="18"/>
                <w:szCs w:val="18"/>
              </w:rPr>
              <w:t>maintenance</w:t>
            </w:r>
            <w:proofErr w:type="gramEnd"/>
            <w:r w:rsidRPr="00A4484E">
              <w:rPr>
                <w:sz w:val="18"/>
                <w:szCs w:val="18"/>
              </w:rPr>
              <w:t xml:space="preserve"> or repair services)</w:t>
            </w:r>
          </w:p>
        </w:tc>
      </w:tr>
      <w:tr w:rsidR="00352018" w:rsidRPr="00A4484E" w14:paraId="67B0DC05" w14:textId="77777777" w:rsidTr="00062443">
        <w:trPr>
          <w:trHeight w:val="206"/>
        </w:trPr>
        <w:tc>
          <w:tcPr>
            <w:tcW w:w="1284" w:type="dxa"/>
          </w:tcPr>
          <w:p w14:paraId="28BC14C0" w14:textId="77777777" w:rsidR="00352018" w:rsidRPr="00A4484E" w:rsidRDefault="00352018" w:rsidP="00352018">
            <w:pPr>
              <w:pStyle w:val="TableParagraph"/>
              <w:spacing w:line="186" w:lineRule="exact"/>
              <w:rPr>
                <w:sz w:val="18"/>
              </w:rPr>
            </w:pPr>
            <w:r w:rsidRPr="00A4484E">
              <w:rPr>
                <w:sz w:val="18"/>
              </w:rPr>
              <w:t>252.225-7028</w:t>
            </w:r>
          </w:p>
        </w:tc>
        <w:tc>
          <w:tcPr>
            <w:tcW w:w="8859" w:type="dxa"/>
          </w:tcPr>
          <w:p w14:paraId="5274D8E0" w14:textId="77777777" w:rsidR="00352018" w:rsidRPr="00A4484E" w:rsidRDefault="00352018" w:rsidP="00352018">
            <w:pPr>
              <w:pStyle w:val="TableParagraph"/>
              <w:spacing w:line="186" w:lineRule="exact"/>
              <w:ind w:left="121"/>
              <w:rPr>
                <w:sz w:val="18"/>
                <w:szCs w:val="18"/>
              </w:rPr>
            </w:pPr>
            <w:r w:rsidRPr="00A4484E">
              <w:rPr>
                <w:sz w:val="18"/>
                <w:szCs w:val="18"/>
              </w:rPr>
              <w:t>EXCLUSIONARY POLICIES AND PRACTICES OF FOREIGN GOVERNMENTS</w:t>
            </w:r>
          </w:p>
        </w:tc>
      </w:tr>
      <w:tr w:rsidR="00352018" w:rsidRPr="00A4484E" w14:paraId="2BDB9036" w14:textId="77777777" w:rsidTr="00062443">
        <w:trPr>
          <w:trHeight w:val="206"/>
        </w:trPr>
        <w:tc>
          <w:tcPr>
            <w:tcW w:w="1284" w:type="dxa"/>
          </w:tcPr>
          <w:p w14:paraId="06F59312" w14:textId="77777777" w:rsidR="00352018" w:rsidRPr="00A4484E" w:rsidRDefault="00352018" w:rsidP="00352018">
            <w:pPr>
              <w:pStyle w:val="TableParagraph"/>
              <w:spacing w:line="186" w:lineRule="exact"/>
              <w:rPr>
                <w:sz w:val="18"/>
              </w:rPr>
            </w:pPr>
            <w:r w:rsidRPr="00A4484E">
              <w:rPr>
                <w:sz w:val="18"/>
              </w:rPr>
              <w:t>252.225-7038</w:t>
            </w:r>
          </w:p>
        </w:tc>
        <w:tc>
          <w:tcPr>
            <w:tcW w:w="8859" w:type="dxa"/>
          </w:tcPr>
          <w:p w14:paraId="1617D88F" w14:textId="3E30B3A4" w:rsidR="00352018" w:rsidRPr="00A4484E" w:rsidRDefault="00352018" w:rsidP="00352018">
            <w:pPr>
              <w:pStyle w:val="TableParagraph"/>
              <w:spacing w:line="186" w:lineRule="exact"/>
              <w:ind w:left="121"/>
              <w:rPr>
                <w:sz w:val="18"/>
                <w:szCs w:val="18"/>
              </w:rPr>
            </w:pPr>
            <w:r w:rsidRPr="00A4484E">
              <w:rPr>
                <w:sz w:val="18"/>
                <w:szCs w:val="18"/>
              </w:rPr>
              <w:t>RESTRICTION ON ACQUISITION OF AIR CIRCUIT BREAKERS (Applies if Seller is supplying air circuit breakers)</w:t>
            </w:r>
          </w:p>
        </w:tc>
      </w:tr>
      <w:tr w:rsidR="00352018" w:rsidRPr="00BC32D5" w14:paraId="5BCAB197" w14:textId="77777777" w:rsidTr="00062443">
        <w:trPr>
          <w:trHeight w:val="207"/>
        </w:trPr>
        <w:tc>
          <w:tcPr>
            <w:tcW w:w="1284" w:type="dxa"/>
          </w:tcPr>
          <w:p w14:paraId="2D28A59A" w14:textId="1C9FA1B3" w:rsidR="00352018" w:rsidRPr="00A4484E" w:rsidRDefault="00352018" w:rsidP="00352018">
            <w:pPr>
              <w:pStyle w:val="TableParagraph"/>
              <w:spacing w:line="188" w:lineRule="exact"/>
              <w:rPr>
                <w:sz w:val="18"/>
              </w:rPr>
            </w:pPr>
            <w:r w:rsidRPr="00A4484E">
              <w:rPr>
                <w:sz w:val="18"/>
              </w:rPr>
              <w:t>252.232-7017</w:t>
            </w:r>
          </w:p>
        </w:tc>
        <w:tc>
          <w:tcPr>
            <w:tcW w:w="8859" w:type="dxa"/>
          </w:tcPr>
          <w:p w14:paraId="0B65CF34" w14:textId="28B1160D" w:rsidR="00352018" w:rsidRPr="00A4484E" w:rsidRDefault="00352018" w:rsidP="00352018">
            <w:pPr>
              <w:pStyle w:val="TableParagraph"/>
              <w:spacing w:line="188" w:lineRule="exact"/>
              <w:ind w:left="121"/>
              <w:rPr>
                <w:sz w:val="18"/>
              </w:rPr>
            </w:pPr>
            <w:r w:rsidRPr="00A4484E">
              <w:rPr>
                <w:caps/>
                <w:sz w:val="18"/>
              </w:rPr>
              <w:t>Accelerating Payments to Small Business Subcontractors – Prohibition on Fees and Consideration</w:t>
            </w:r>
            <w:r w:rsidR="002A5AA2" w:rsidRPr="00A4484E">
              <w:rPr>
                <w:caps/>
                <w:sz w:val="18"/>
              </w:rPr>
              <w:t xml:space="preserve"> (</w:t>
            </w:r>
            <w:r w:rsidR="002A5AA2" w:rsidRPr="00A4484E">
              <w:rPr>
                <w:sz w:val="18"/>
              </w:rPr>
              <w:t xml:space="preserve">Applies </w:t>
            </w:r>
            <w:r w:rsidR="00755CD0" w:rsidRPr="00A4484E">
              <w:rPr>
                <w:sz w:val="18"/>
              </w:rPr>
              <w:t>if Seller is</w:t>
            </w:r>
            <w:r w:rsidR="002A5AA2" w:rsidRPr="00A4484E">
              <w:rPr>
                <w:sz w:val="18"/>
              </w:rPr>
              <w:t xml:space="preserve"> a small business)</w:t>
            </w:r>
          </w:p>
        </w:tc>
      </w:tr>
      <w:tr w:rsidR="00352018" w:rsidRPr="00BC32D5" w14:paraId="5308B930" w14:textId="77777777" w:rsidTr="00062443">
        <w:trPr>
          <w:trHeight w:val="207"/>
        </w:trPr>
        <w:tc>
          <w:tcPr>
            <w:tcW w:w="1284" w:type="dxa"/>
          </w:tcPr>
          <w:p w14:paraId="362FF14E" w14:textId="77777777" w:rsidR="00352018" w:rsidRPr="00BC32D5" w:rsidRDefault="00352018" w:rsidP="00352018">
            <w:pPr>
              <w:pStyle w:val="TableParagraph"/>
              <w:spacing w:line="188" w:lineRule="exact"/>
              <w:rPr>
                <w:sz w:val="18"/>
              </w:rPr>
            </w:pPr>
            <w:r w:rsidRPr="00BC32D5">
              <w:rPr>
                <w:sz w:val="18"/>
              </w:rPr>
              <w:t>252.244-7000</w:t>
            </w:r>
          </w:p>
        </w:tc>
        <w:tc>
          <w:tcPr>
            <w:tcW w:w="8859" w:type="dxa"/>
          </w:tcPr>
          <w:p w14:paraId="6848FC6C" w14:textId="77777777" w:rsidR="00352018" w:rsidRPr="00BC32D5" w:rsidRDefault="00352018" w:rsidP="00352018">
            <w:pPr>
              <w:pStyle w:val="TableParagraph"/>
              <w:spacing w:line="188" w:lineRule="exact"/>
              <w:ind w:left="121"/>
              <w:rPr>
                <w:sz w:val="18"/>
              </w:rPr>
            </w:pPr>
            <w:r w:rsidRPr="00BC32D5">
              <w:rPr>
                <w:sz w:val="18"/>
              </w:rPr>
              <w:t>SUBCONTRACTS FOR COMMERCIAL ITEMS AND COMMERCIAL COMPONENTS (DOD CONTRACTS)</w:t>
            </w:r>
          </w:p>
        </w:tc>
      </w:tr>
      <w:tr w:rsidR="00352018" w:rsidRPr="00BC32D5" w14:paraId="2226FEB5" w14:textId="77777777" w:rsidTr="00062443">
        <w:trPr>
          <w:trHeight w:val="206"/>
        </w:trPr>
        <w:tc>
          <w:tcPr>
            <w:tcW w:w="1284" w:type="dxa"/>
          </w:tcPr>
          <w:p w14:paraId="10B54D3E" w14:textId="77777777" w:rsidR="00352018" w:rsidRPr="00BC32D5" w:rsidRDefault="00352018" w:rsidP="00352018">
            <w:pPr>
              <w:pStyle w:val="TableParagraph"/>
              <w:spacing w:line="186" w:lineRule="exact"/>
              <w:rPr>
                <w:sz w:val="18"/>
              </w:rPr>
            </w:pPr>
            <w:r w:rsidRPr="00BC32D5">
              <w:rPr>
                <w:sz w:val="18"/>
              </w:rPr>
              <w:t>252.246-7003</w:t>
            </w:r>
          </w:p>
        </w:tc>
        <w:tc>
          <w:tcPr>
            <w:tcW w:w="8859" w:type="dxa"/>
          </w:tcPr>
          <w:p w14:paraId="1660FF18" w14:textId="77777777" w:rsidR="00352018" w:rsidRPr="00BC32D5" w:rsidRDefault="00352018" w:rsidP="00352018">
            <w:pPr>
              <w:pStyle w:val="TableParagraph"/>
              <w:spacing w:line="186" w:lineRule="exact"/>
              <w:ind w:left="121"/>
              <w:rPr>
                <w:sz w:val="18"/>
              </w:rPr>
            </w:pPr>
            <w:r w:rsidRPr="00BC32D5">
              <w:rPr>
                <w:sz w:val="18"/>
              </w:rPr>
              <w:t>NOTIFICATION OF POTENTIAL SAFETY ISSUES</w:t>
            </w:r>
          </w:p>
        </w:tc>
      </w:tr>
      <w:tr w:rsidR="00352018" w:rsidRPr="00BC32D5" w14:paraId="14B9D18D" w14:textId="77777777" w:rsidTr="00062443">
        <w:trPr>
          <w:trHeight w:val="206"/>
        </w:trPr>
        <w:tc>
          <w:tcPr>
            <w:tcW w:w="1284" w:type="dxa"/>
          </w:tcPr>
          <w:p w14:paraId="4D062811" w14:textId="77777777" w:rsidR="00352018" w:rsidRPr="00BC32D5" w:rsidRDefault="00352018" w:rsidP="00352018">
            <w:pPr>
              <w:pStyle w:val="TableParagraph"/>
              <w:spacing w:line="186" w:lineRule="exact"/>
              <w:rPr>
                <w:sz w:val="18"/>
              </w:rPr>
            </w:pPr>
            <w:r w:rsidRPr="00BC32D5">
              <w:rPr>
                <w:sz w:val="18"/>
              </w:rPr>
              <w:t>252.246-7007</w:t>
            </w:r>
          </w:p>
        </w:tc>
        <w:tc>
          <w:tcPr>
            <w:tcW w:w="8859" w:type="dxa"/>
          </w:tcPr>
          <w:p w14:paraId="003BE481" w14:textId="5AA57A62" w:rsidR="00352018" w:rsidRPr="00BC32D5" w:rsidRDefault="00352018" w:rsidP="00352018">
            <w:pPr>
              <w:pStyle w:val="TableParagraph"/>
              <w:spacing w:line="186" w:lineRule="exact"/>
              <w:ind w:left="121"/>
              <w:rPr>
                <w:sz w:val="18"/>
              </w:rPr>
            </w:pPr>
            <w:r w:rsidRPr="00BC32D5">
              <w:rPr>
                <w:sz w:val="18"/>
              </w:rPr>
              <w:t>CONTRACTOR COUNTERFEIT ELECTRONIC PART DETECTION AND AVOIDANCE SYSTEM (Applies only if supplying electronic parts)</w:t>
            </w:r>
          </w:p>
        </w:tc>
      </w:tr>
      <w:tr w:rsidR="00352018" w:rsidRPr="00BC32D5" w14:paraId="1E538B8F" w14:textId="77777777" w:rsidTr="00062443">
        <w:trPr>
          <w:trHeight w:val="207"/>
        </w:trPr>
        <w:tc>
          <w:tcPr>
            <w:tcW w:w="1284" w:type="dxa"/>
          </w:tcPr>
          <w:p w14:paraId="10DD9618" w14:textId="77777777" w:rsidR="00352018" w:rsidRPr="00BC32D5" w:rsidRDefault="00352018" w:rsidP="00352018">
            <w:pPr>
              <w:pStyle w:val="TableParagraph"/>
              <w:spacing w:line="188" w:lineRule="exact"/>
              <w:rPr>
                <w:sz w:val="18"/>
              </w:rPr>
            </w:pPr>
            <w:r w:rsidRPr="00BC32D5">
              <w:rPr>
                <w:sz w:val="18"/>
              </w:rPr>
              <w:t>252.246-7008</w:t>
            </w:r>
          </w:p>
        </w:tc>
        <w:tc>
          <w:tcPr>
            <w:tcW w:w="8859" w:type="dxa"/>
          </w:tcPr>
          <w:p w14:paraId="1FD3E060" w14:textId="77777777" w:rsidR="00352018" w:rsidRPr="00BC32D5" w:rsidRDefault="00352018" w:rsidP="00352018">
            <w:pPr>
              <w:pStyle w:val="TableParagraph"/>
              <w:spacing w:line="188" w:lineRule="exact"/>
              <w:ind w:left="121"/>
              <w:rPr>
                <w:sz w:val="18"/>
              </w:rPr>
            </w:pPr>
            <w:r w:rsidRPr="00BC32D5">
              <w:rPr>
                <w:sz w:val="18"/>
              </w:rPr>
              <w:t>SOURCES OF ELECTRONIC PARTS (Applies only if supplying electronic parts)</w:t>
            </w:r>
          </w:p>
        </w:tc>
      </w:tr>
      <w:tr w:rsidR="00352018" w:rsidRPr="00BC32D5" w14:paraId="0BCF84BF" w14:textId="77777777" w:rsidTr="00062443">
        <w:trPr>
          <w:trHeight w:val="206"/>
        </w:trPr>
        <w:tc>
          <w:tcPr>
            <w:tcW w:w="1284" w:type="dxa"/>
          </w:tcPr>
          <w:p w14:paraId="061DA7C6" w14:textId="77777777" w:rsidR="00352018" w:rsidRPr="00BC32D5" w:rsidRDefault="00352018" w:rsidP="00352018">
            <w:pPr>
              <w:pStyle w:val="TableParagraph"/>
              <w:spacing w:line="186" w:lineRule="exact"/>
              <w:rPr>
                <w:sz w:val="18"/>
              </w:rPr>
            </w:pPr>
            <w:r w:rsidRPr="00BC32D5">
              <w:rPr>
                <w:sz w:val="18"/>
              </w:rPr>
              <w:t>252.247-7023</w:t>
            </w:r>
          </w:p>
        </w:tc>
        <w:tc>
          <w:tcPr>
            <w:tcW w:w="8859" w:type="dxa"/>
          </w:tcPr>
          <w:p w14:paraId="3AB9FA99" w14:textId="77777777" w:rsidR="00352018" w:rsidRPr="00BC32D5" w:rsidRDefault="00352018" w:rsidP="00352018">
            <w:pPr>
              <w:pStyle w:val="TableParagraph"/>
              <w:spacing w:line="186" w:lineRule="exact"/>
              <w:ind w:left="121"/>
              <w:rPr>
                <w:sz w:val="18"/>
              </w:rPr>
            </w:pPr>
            <w:r w:rsidRPr="00BC32D5">
              <w:rPr>
                <w:sz w:val="18"/>
              </w:rPr>
              <w:t>TRANSPORTATION OF SUPPLIES BY SEA</w:t>
            </w:r>
          </w:p>
        </w:tc>
      </w:tr>
    </w:tbl>
    <w:p w14:paraId="29A2D207" w14:textId="77777777" w:rsidR="00210E36" w:rsidRPr="00BC32D5" w:rsidRDefault="00210E36">
      <w:pPr>
        <w:rPr>
          <w:b/>
          <w:sz w:val="20"/>
        </w:rPr>
      </w:pPr>
    </w:p>
    <w:p w14:paraId="66602BCF" w14:textId="48F125E7" w:rsidR="00210E36" w:rsidRDefault="00210E36">
      <w:pPr>
        <w:spacing w:before="2"/>
        <w:rPr>
          <w:b/>
          <w:sz w:val="21"/>
        </w:rPr>
      </w:pPr>
    </w:p>
    <w:p w14:paraId="6647EF80" w14:textId="77777777" w:rsidR="009260D0" w:rsidRDefault="009260D0">
      <w:pPr>
        <w:spacing w:before="2"/>
        <w:rPr>
          <w:b/>
          <w:sz w:val="21"/>
        </w:rPr>
      </w:pPr>
    </w:p>
    <w:p w14:paraId="638F01F2" w14:textId="77777777" w:rsidR="00BC32D5" w:rsidRPr="00BC32D5" w:rsidRDefault="00BC32D5">
      <w:pPr>
        <w:spacing w:before="2"/>
        <w:rPr>
          <w:b/>
          <w:sz w:val="21"/>
        </w:rPr>
      </w:pPr>
    </w:p>
    <w:p w14:paraId="127D992A" w14:textId="77777777" w:rsidR="00210E36" w:rsidRPr="00BC32D5" w:rsidRDefault="00C013DC">
      <w:pPr>
        <w:pStyle w:val="BodyText"/>
        <w:ind w:left="107"/>
      </w:pPr>
      <w:r w:rsidRPr="00BC32D5">
        <w:t>The Following Clauses Do Not Apply to Work Performed Outside the United States by Employees who were not Recruited in the United States</w:t>
      </w:r>
    </w:p>
    <w:p w14:paraId="413FEB46" w14:textId="1BCAFD46" w:rsidR="00210E36" w:rsidRPr="00BC32D5" w:rsidRDefault="00210E36" w:rsidP="00B02F7A">
      <w:pPr>
        <w:tabs>
          <w:tab w:val="left" w:pos="1598"/>
        </w:tabs>
        <w:rPr>
          <w:sz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8"/>
        <w:gridCol w:w="8787"/>
      </w:tblGrid>
      <w:tr w:rsidR="00B02F7A" w:rsidRPr="00BC32D5" w14:paraId="404E0D16" w14:textId="77777777" w:rsidTr="00BC32D5">
        <w:trPr>
          <w:trHeight w:val="193"/>
        </w:trPr>
        <w:tc>
          <w:tcPr>
            <w:tcW w:w="1298" w:type="dxa"/>
          </w:tcPr>
          <w:p w14:paraId="2C61C3AE" w14:textId="1AF5CEEB" w:rsidR="00B02F7A" w:rsidRPr="00BC32D5" w:rsidRDefault="00B02F7A" w:rsidP="00B02F7A">
            <w:pPr>
              <w:pStyle w:val="TableParagraph"/>
              <w:spacing w:line="169" w:lineRule="exact"/>
              <w:rPr>
                <w:sz w:val="18"/>
              </w:rPr>
            </w:pPr>
            <w:r w:rsidRPr="00BC32D5">
              <w:rPr>
                <w:sz w:val="18"/>
              </w:rPr>
              <w:t>52.222-21</w:t>
            </w:r>
          </w:p>
        </w:tc>
        <w:tc>
          <w:tcPr>
            <w:tcW w:w="8787" w:type="dxa"/>
          </w:tcPr>
          <w:p w14:paraId="3D9CB810" w14:textId="630FBC0D" w:rsidR="00B02F7A" w:rsidRPr="00BC32D5" w:rsidRDefault="00B02F7A" w:rsidP="00B02F7A">
            <w:pPr>
              <w:pStyle w:val="TableParagraph"/>
              <w:spacing w:line="169" w:lineRule="exact"/>
              <w:ind w:left="134"/>
              <w:rPr>
                <w:sz w:val="18"/>
              </w:rPr>
            </w:pPr>
            <w:r w:rsidRPr="00BC32D5">
              <w:rPr>
                <w:sz w:val="18"/>
              </w:rPr>
              <w:t>PROHIBITION OF SEGREGATED FACILITIES</w:t>
            </w:r>
          </w:p>
        </w:tc>
      </w:tr>
      <w:tr w:rsidR="00B02F7A" w:rsidRPr="00BC32D5" w14:paraId="4571BFE5" w14:textId="77777777" w:rsidTr="00BC32D5">
        <w:trPr>
          <w:trHeight w:val="193"/>
        </w:trPr>
        <w:tc>
          <w:tcPr>
            <w:tcW w:w="1298" w:type="dxa"/>
          </w:tcPr>
          <w:p w14:paraId="62028ACE" w14:textId="1ABF8A79" w:rsidR="00B02F7A" w:rsidRPr="00BC32D5" w:rsidRDefault="00B02F7A" w:rsidP="00B02F7A">
            <w:pPr>
              <w:pStyle w:val="TableParagraph"/>
              <w:spacing w:line="169" w:lineRule="exact"/>
              <w:rPr>
                <w:sz w:val="18"/>
              </w:rPr>
            </w:pPr>
            <w:r w:rsidRPr="00BC32D5">
              <w:rPr>
                <w:sz w:val="18"/>
              </w:rPr>
              <w:t>52.222-26</w:t>
            </w:r>
          </w:p>
        </w:tc>
        <w:tc>
          <w:tcPr>
            <w:tcW w:w="8787" w:type="dxa"/>
          </w:tcPr>
          <w:p w14:paraId="1693F6DA" w14:textId="412FF3D6" w:rsidR="00B02F7A" w:rsidRPr="00BC32D5" w:rsidRDefault="00B02F7A" w:rsidP="00B02F7A">
            <w:pPr>
              <w:pStyle w:val="TableParagraph"/>
              <w:spacing w:line="169" w:lineRule="exact"/>
              <w:ind w:left="134"/>
              <w:rPr>
                <w:sz w:val="18"/>
              </w:rPr>
            </w:pPr>
            <w:r w:rsidRPr="00BC32D5">
              <w:rPr>
                <w:sz w:val="18"/>
              </w:rPr>
              <w:t>EQUAL OPPORTUNITY</w:t>
            </w:r>
          </w:p>
        </w:tc>
      </w:tr>
      <w:tr w:rsidR="00210E36" w:rsidRPr="00BC32D5" w14:paraId="61EBF7C2" w14:textId="77777777" w:rsidTr="00BC32D5">
        <w:trPr>
          <w:trHeight w:val="193"/>
        </w:trPr>
        <w:tc>
          <w:tcPr>
            <w:tcW w:w="1298" w:type="dxa"/>
          </w:tcPr>
          <w:p w14:paraId="27C60249" w14:textId="77777777" w:rsidR="00210E36" w:rsidRPr="00BC32D5" w:rsidRDefault="00C013DC">
            <w:pPr>
              <w:pStyle w:val="TableParagraph"/>
              <w:spacing w:line="169" w:lineRule="exact"/>
              <w:rPr>
                <w:sz w:val="18"/>
              </w:rPr>
            </w:pPr>
            <w:r w:rsidRPr="00BC32D5">
              <w:rPr>
                <w:sz w:val="18"/>
              </w:rPr>
              <w:t>52.222-35</w:t>
            </w:r>
          </w:p>
        </w:tc>
        <w:tc>
          <w:tcPr>
            <w:tcW w:w="8787" w:type="dxa"/>
          </w:tcPr>
          <w:p w14:paraId="72527F56" w14:textId="77777777" w:rsidR="00210E36" w:rsidRPr="00BC32D5" w:rsidRDefault="00C013DC">
            <w:pPr>
              <w:pStyle w:val="TableParagraph"/>
              <w:spacing w:line="169" w:lineRule="exact"/>
              <w:ind w:left="134"/>
              <w:rPr>
                <w:sz w:val="18"/>
              </w:rPr>
            </w:pPr>
            <w:r w:rsidRPr="00BC32D5">
              <w:rPr>
                <w:sz w:val="18"/>
              </w:rPr>
              <w:t>EQUAL OPPORTUNITY FOR VETERANS (Applies when the Order exceeds $150,000)</w:t>
            </w:r>
          </w:p>
        </w:tc>
      </w:tr>
      <w:tr w:rsidR="00210E36" w:rsidRPr="00BC32D5" w14:paraId="34A16DFA" w14:textId="77777777" w:rsidTr="00BC32D5">
        <w:trPr>
          <w:trHeight w:val="206"/>
        </w:trPr>
        <w:tc>
          <w:tcPr>
            <w:tcW w:w="1298" w:type="dxa"/>
          </w:tcPr>
          <w:p w14:paraId="348CAE82" w14:textId="77777777" w:rsidR="00210E36" w:rsidRPr="00BC32D5" w:rsidRDefault="00C013DC">
            <w:pPr>
              <w:pStyle w:val="TableParagraph"/>
              <w:spacing w:line="182" w:lineRule="exact"/>
              <w:rPr>
                <w:sz w:val="18"/>
              </w:rPr>
            </w:pPr>
            <w:r w:rsidRPr="00BC32D5">
              <w:rPr>
                <w:sz w:val="18"/>
              </w:rPr>
              <w:t>52.222-36</w:t>
            </w:r>
          </w:p>
        </w:tc>
        <w:tc>
          <w:tcPr>
            <w:tcW w:w="8787" w:type="dxa"/>
          </w:tcPr>
          <w:p w14:paraId="140F93AF" w14:textId="77777777" w:rsidR="00210E36" w:rsidRPr="00BC32D5" w:rsidRDefault="00C013DC">
            <w:pPr>
              <w:pStyle w:val="TableParagraph"/>
              <w:spacing w:line="182" w:lineRule="exact"/>
              <w:ind w:left="134"/>
              <w:rPr>
                <w:sz w:val="18"/>
              </w:rPr>
            </w:pPr>
            <w:r w:rsidRPr="00BC32D5">
              <w:rPr>
                <w:sz w:val="18"/>
              </w:rPr>
              <w:t>AFFIRMATIVE ACTION FOR WORKERS WITH DISABILITIES (Applies when the Order exceeds $15,000)</w:t>
            </w:r>
          </w:p>
        </w:tc>
      </w:tr>
      <w:tr w:rsidR="00210E36" w:rsidRPr="00BC32D5" w14:paraId="3ED96E03" w14:textId="77777777" w:rsidTr="00BC32D5">
        <w:trPr>
          <w:trHeight w:val="207"/>
        </w:trPr>
        <w:tc>
          <w:tcPr>
            <w:tcW w:w="1298" w:type="dxa"/>
          </w:tcPr>
          <w:p w14:paraId="3004DBA6" w14:textId="77777777" w:rsidR="00210E36" w:rsidRPr="00BC32D5" w:rsidRDefault="00C013DC">
            <w:pPr>
              <w:pStyle w:val="TableParagraph"/>
              <w:spacing w:line="182" w:lineRule="exact"/>
              <w:rPr>
                <w:sz w:val="18"/>
              </w:rPr>
            </w:pPr>
            <w:r w:rsidRPr="00BC32D5">
              <w:rPr>
                <w:sz w:val="18"/>
              </w:rPr>
              <w:t>52.222-37</w:t>
            </w:r>
          </w:p>
        </w:tc>
        <w:tc>
          <w:tcPr>
            <w:tcW w:w="8787" w:type="dxa"/>
          </w:tcPr>
          <w:p w14:paraId="456B4240" w14:textId="77777777" w:rsidR="00210E36" w:rsidRPr="00BC32D5" w:rsidRDefault="00C013DC">
            <w:pPr>
              <w:pStyle w:val="TableParagraph"/>
              <w:spacing w:line="182" w:lineRule="exact"/>
              <w:ind w:left="134"/>
              <w:rPr>
                <w:sz w:val="18"/>
              </w:rPr>
            </w:pPr>
            <w:r w:rsidRPr="00BC32D5">
              <w:rPr>
                <w:sz w:val="18"/>
              </w:rPr>
              <w:t>EMPLOYMENT REPORTS ON VETERANS (Applies when the Order exceeds $150,000)</w:t>
            </w:r>
          </w:p>
        </w:tc>
      </w:tr>
      <w:tr w:rsidR="00210E36" w:rsidRPr="00BC32D5" w14:paraId="44AB82F5" w14:textId="77777777" w:rsidTr="00BC32D5">
        <w:trPr>
          <w:trHeight w:val="207"/>
        </w:trPr>
        <w:tc>
          <w:tcPr>
            <w:tcW w:w="1298" w:type="dxa"/>
          </w:tcPr>
          <w:p w14:paraId="365E3DFC" w14:textId="77777777" w:rsidR="00210E36" w:rsidRPr="00BC32D5" w:rsidRDefault="00C013DC">
            <w:pPr>
              <w:pStyle w:val="TableParagraph"/>
              <w:spacing w:line="183" w:lineRule="exact"/>
              <w:rPr>
                <w:sz w:val="18"/>
              </w:rPr>
            </w:pPr>
            <w:r w:rsidRPr="00BC32D5">
              <w:rPr>
                <w:sz w:val="18"/>
              </w:rPr>
              <w:t>52.222-40</w:t>
            </w:r>
          </w:p>
        </w:tc>
        <w:tc>
          <w:tcPr>
            <w:tcW w:w="8787" w:type="dxa"/>
          </w:tcPr>
          <w:p w14:paraId="587CBEAB" w14:textId="47ACFE03" w:rsidR="00210E36" w:rsidRPr="00BC32D5" w:rsidRDefault="00C013DC">
            <w:pPr>
              <w:pStyle w:val="TableParagraph"/>
              <w:spacing w:line="183" w:lineRule="exact"/>
              <w:ind w:left="134"/>
              <w:rPr>
                <w:sz w:val="18"/>
              </w:rPr>
            </w:pPr>
            <w:r w:rsidRPr="00BC32D5">
              <w:rPr>
                <w:sz w:val="18"/>
              </w:rPr>
              <w:t>NOTIFICATION OF EMPLOYEE RIGHTS UNDER THE NATIONAL LABOR RELATIONS ACT (Applies</w:t>
            </w:r>
            <w:r w:rsidR="004A5583">
              <w:rPr>
                <w:sz w:val="18"/>
              </w:rPr>
              <w:t xml:space="preserve"> when the Order exceeds $10,000)</w:t>
            </w:r>
          </w:p>
        </w:tc>
      </w:tr>
      <w:tr w:rsidR="004A5583" w:rsidRPr="00BC32D5" w14:paraId="4A3C0C54" w14:textId="77777777" w:rsidTr="008E5A07">
        <w:trPr>
          <w:trHeight w:val="433"/>
        </w:trPr>
        <w:tc>
          <w:tcPr>
            <w:tcW w:w="1298" w:type="dxa"/>
          </w:tcPr>
          <w:p w14:paraId="6BB1E814" w14:textId="38535B47" w:rsidR="004A5583" w:rsidRPr="00BC32D5" w:rsidRDefault="004A5583" w:rsidP="004A5583">
            <w:pPr>
              <w:pStyle w:val="TableParagraph"/>
              <w:ind w:left="43"/>
              <w:rPr>
                <w:rFonts w:ascii="Times New Roman"/>
                <w:sz w:val="14"/>
              </w:rPr>
            </w:pPr>
            <w:r w:rsidRPr="00BC32D5">
              <w:rPr>
                <w:sz w:val="18"/>
              </w:rPr>
              <w:t>252.226-7001</w:t>
            </w:r>
          </w:p>
        </w:tc>
        <w:tc>
          <w:tcPr>
            <w:tcW w:w="8787" w:type="dxa"/>
          </w:tcPr>
          <w:p w14:paraId="5B1A9A04" w14:textId="4D613125" w:rsidR="004A5583" w:rsidRDefault="004A5583" w:rsidP="004A5583">
            <w:pPr>
              <w:pStyle w:val="TableParagraph"/>
              <w:spacing w:line="182" w:lineRule="exact"/>
              <w:ind w:left="134"/>
              <w:rPr>
                <w:sz w:val="18"/>
              </w:rPr>
            </w:pPr>
            <w:r w:rsidRPr="00BC32D5">
              <w:rPr>
                <w:sz w:val="18"/>
              </w:rPr>
              <w:t>UTILIZATION OF INDIAN ORGANIZATIONS, INDIAN-OWNED ECONOMIC ENTERPRISES, AND NATIVE</w:t>
            </w:r>
            <w:r>
              <w:rPr>
                <w:sz w:val="18"/>
              </w:rPr>
              <w:t xml:space="preserve"> HAWAIIAN </w:t>
            </w:r>
            <w:r w:rsidR="008E5A07">
              <w:rPr>
                <w:sz w:val="18"/>
              </w:rPr>
              <w:t>SMALL BUSINESS CONCERNS (Applies when the Order exceeds $500,000)</w:t>
            </w:r>
          </w:p>
          <w:p w14:paraId="23212959" w14:textId="600B89D7" w:rsidR="008E5A07" w:rsidRPr="00BC32D5" w:rsidRDefault="008E5A07" w:rsidP="004A5583">
            <w:pPr>
              <w:pStyle w:val="TableParagraph"/>
              <w:spacing w:line="182" w:lineRule="exact"/>
              <w:ind w:left="134"/>
              <w:rPr>
                <w:sz w:val="18"/>
              </w:rPr>
            </w:pPr>
          </w:p>
        </w:tc>
      </w:tr>
    </w:tbl>
    <w:p w14:paraId="5F6F6024" w14:textId="77777777" w:rsidR="00C013DC" w:rsidRDefault="00C013DC"/>
    <w:sectPr w:rsidR="00C013DC" w:rsidSect="009260D0">
      <w:footerReference w:type="default" r:id="rId6"/>
      <w:pgSz w:w="12240" w:h="15840"/>
      <w:pgMar w:top="1060" w:right="900" w:bottom="900" w:left="90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ADD2A" w14:textId="77777777" w:rsidR="00F92AF8" w:rsidRDefault="00F92AF8">
      <w:r>
        <w:separator/>
      </w:r>
    </w:p>
  </w:endnote>
  <w:endnote w:type="continuationSeparator" w:id="0">
    <w:p w14:paraId="252C0543" w14:textId="77777777" w:rsidR="00F92AF8" w:rsidRDefault="00F92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AD500" w14:textId="2823EFC3" w:rsidR="009260D0" w:rsidRDefault="009260D0" w:rsidP="00A64F8B">
    <w:pPr>
      <w:pStyle w:val="Footer"/>
      <w:rPr>
        <w:b/>
      </w:rPr>
    </w:pPr>
    <w:r w:rsidRPr="00FA5BD4">
      <w:rPr>
        <w:sz w:val="18"/>
        <w:szCs w:val="18"/>
      </w:rPr>
      <w:t>A superscript “2” indicates the clause does not apply to international suppliers when work is performed outside the United States and its possessions.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90575" w14:textId="77777777" w:rsidR="00F92AF8" w:rsidRDefault="00F92AF8">
      <w:r>
        <w:separator/>
      </w:r>
    </w:p>
  </w:footnote>
  <w:footnote w:type="continuationSeparator" w:id="0">
    <w:p w14:paraId="5042F02F" w14:textId="77777777" w:rsidR="00F92AF8" w:rsidRDefault="00F92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36"/>
    <w:rsid w:val="00011A55"/>
    <w:rsid w:val="000128CA"/>
    <w:rsid w:val="00062443"/>
    <w:rsid w:val="00065A83"/>
    <w:rsid w:val="000851BC"/>
    <w:rsid w:val="000E2844"/>
    <w:rsid w:val="000F45B1"/>
    <w:rsid w:val="001430FE"/>
    <w:rsid w:val="001B7A8C"/>
    <w:rsid w:val="001F0429"/>
    <w:rsid w:val="001F6181"/>
    <w:rsid w:val="00204819"/>
    <w:rsid w:val="00210E36"/>
    <w:rsid w:val="002161A9"/>
    <w:rsid w:val="002A5AA2"/>
    <w:rsid w:val="002B1659"/>
    <w:rsid w:val="002D3E08"/>
    <w:rsid w:val="002E4DA9"/>
    <w:rsid w:val="002F733F"/>
    <w:rsid w:val="00325403"/>
    <w:rsid w:val="00327002"/>
    <w:rsid w:val="00352018"/>
    <w:rsid w:val="0037119E"/>
    <w:rsid w:val="003764A0"/>
    <w:rsid w:val="00381FC9"/>
    <w:rsid w:val="003D16BA"/>
    <w:rsid w:val="003E047C"/>
    <w:rsid w:val="00405EFC"/>
    <w:rsid w:val="00463717"/>
    <w:rsid w:val="00472CC1"/>
    <w:rsid w:val="00474FA1"/>
    <w:rsid w:val="004A2521"/>
    <w:rsid w:val="004A5583"/>
    <w:rsid w:val="004C37E0"/>
    <w:rsid w:val="004D1581"/>
    <w:rsid w:val="004F725B"/>
    <w:rsid w:val="00535436"/>
    <w:rsid w:val="00580349"/>
    <w:rsid w:val="005A4CCF"/>
    <w:rsid w:val="005A7C72"/>
    <w:rsid w:val="005C209F"/>
    <w:rsid w:val="005F0868"/>
    <w:rsid w:val="00613A9A"/>
    <w:rsid w:val="006654DD"/>
    <w:rsid w:val="00695D80"/>
    <w:rsid w:val="006C4599"/>
    <w:rsid w:val="00720C43"/>
    <w:rsid w:val="00736C83"/>
    <w:rsid w:val="00755CD0"/>
    <w:rsid w:val="00756E88"/>
    <w:rsid w:val="007E6F50"/>
    <w:rsid w:val="00810175"/>
    <w:rsid w:val="00835CFF"/>
    <w:rsid w:val="00860702"/>
    <w:rsid w:val="008A158B"/>
    <w:rsid w:val="008A26BA"/>
    <w:rsid w:val="008E5A07"/>
    <w:rsid w:val="008F1E2D"/>
    <w:rsid w:val="00907F27"/>
    <w:rsid w:val="00913B0F"/>
    <w:rsid w:val="009161B0"/>
    <w:rsid w:val="00916D70"/>
    <w:rsid w:val="009260D0"/>
    <w:rsid w:val="00937C60"/>
    <w:rsid w:val="00943AF6"/>
    <w:rsid w:val="00961D35"/>
    <w:rsid w:val="00987547"/>
    <w:rsid w:val="009B5F4E"/>
    <w:rsid w:val="009C273E"/>
    <w:rsid w:val="009C6C57"/>
    <w:rsid w:val="009C778C"/>
    <w:rsid w:val="009D2824"/>
    <w:rsid w:val="009F2F98"/>
    <w:rsid w:val="009F69F1"/>
    <w:rsid w:val="00A10794"/>
    <w:rsid w:val="00A15788"/>
    <w:rsid w:val="00A23EB9"/>
    <w:rsid w:val="00A4484E"/>
    <w:rsid w:val="00A451A2"/>
    <w:rsid w:val="00A51B80"/>
    <w:rsid w:val="00A56B84"/>
    <w:rsid w:val="00A64F8B"/>
    <w:rsid w:val="00A76AAC"/>
    <w:rsid w:val="00AA1489"/>
    <w:rsid w:val="00AE06A5"/>
    <w:rsid w:val="00AE6513"/>
    <w:rsid w:val="00AE74CA"/>
    <w:rsid w:val="00B02F7A"/>
    <w:rsid w:val="00B23071"/>
    <w:rsid w:val="00B672A2"/>
    <w:rsid w:val="00BB5472"/>
    <w:rsid w:val="00BC32D5"/>
    <w:rsid w:val="00BF513A"/>
    <w:rsid w:val="00C013DC"/>
    <w:rsid w:val="00C30000"/>
    <w:rsid w:val="00C66B04"/>
    <w:rsid w:val="00C7437A"/>
    <w:rsid w:val="00C9279A"/>
    <w:rsid w:val="00CC1825"/>
    <w:rsid w:val="00CE78E8"/>
    <w:rsid w:val="00CF01E4"/>
    <w:rsid w:val="00CF7EDD"/>
    <w:rsid w:val="00D20B13"/>
    <w:rsid w:val="00D4662D"/>
    <w:rsid w:val="00D97CDA"/>
    <w:rsid w:val="00DE16D6"/>
    <w:rsid w:val="00E83BC2"/>
    <w:rsid w:val="00E95549"/>
    <w:rsid w:val="00EC770C"/>
    <w:rsid w:val="00ED2987"/>
    <w:rsid w:val="00EF2FC4"/>
    <w:rsid w:val="00F37FBF"/>
    <w:rsid w:val="00F92AF8"/>
    <w:rsid w:val="00F949D9"/>
    <w:rsid w:val="00FB5B0C"/>
    <w:rsid w:val="00FC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18EF43"/>
  <w15:docId w15:val="{5F6C4218-025C-458C-BCD5-E467DBD9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rsid w:val="00EC770C"/>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C770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pPr>
  </w:style>
  <w:style w:type="paragraph" w:styleId="BalloonText">
    <w:name w:val="Balloon Text"/>
    <w:basedOn w:val="Normal"/>
    <w:link w:val="BalloonTextChar"/>
    <w:uiPriority w:val="99"/>
    <w:semiHidden/>
    <w:unhideWhenUsed/>
    <w:rsid w:val="00062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43"/>
    <w:rPr>
      <w:rFonts w:ascii="Segoe UI" w:eastAsia="Arial" w:hAnsi="Segoe UI" w:cs="Segoe UI"/>
      <w:sz w:val="18"/>
      <w:szCs w:val="18"/>
    </w:rPr>
  </w:style>
  <w:style w:type="character" w:styleId="CommentReference">
    <w:name w:val="annotation reference"/>
    <w:basedOn w:val="DefaultParagraphFont"/>
    <w:uiPriority w:val="99"/>
    <w:semiHidden/>
    <w:unhideWhenUsed/>
    <w:rsid w:val="00474FA1"/>
    <w:rPr>
      <w:sz w:val="16"/>
      <w:szCs w:val="16"/>
    </w:rPr>
  </w:style>
  <w:style w:type="paragraph" w:styleId="CommentText">
    <w:name w:val="annotation text"/>
    <w:basedOn w:val="Normal"/>
    <w:link w:val="CommentTextChar"/>
    <w:uiPriority w:val="99"/>
    <w:semiHidden/>
    <w:unhideWhenUsed/>
    <w:rsid w:val="00474FA1"/>
    <w:rPr>
      <w:sz w:val="20"/>
      <w:szCs w:val="20"/>
    </w:rPr>
  </w:style>
  <w:style w:type="character" w:customStyle="1" w:styleId="CommentTextChar">
    <w:name w:val="Comment Text Char"/>
    <w:basedOn w:val="DefaultParagraphFont"/>
    <w:link w:val="CommentText"/>
    <w:uiPriority w:val="99"/>
    <w:semiHidden/>
    <w:rsid w:val="00474FA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4FA1"/>
    <w:rPr>
      <w:b/>
      <w:bCs/>
    </w:rPr>
  </w:style>
  <w:style w:type="character" w:customStyle="1" w:styleId="CommentSubjectChar">
    <w:name w:val="Comment Subject Char"/>
    <w:basedOn w:val="CommentTextChar"/>
    <w:link w:val="CommentSubject"/>
    <w:uiPriority w:val="99"/>
    <w:semiHidden/>
    <w:rsid w:val="00474FA1"/>
    <w:rPr>
      <w:rFonts w:ascii="Arial" w:eastAsia="Arial" w:hAnsi="Arial" w:cs="Arial"/>
      <w:b/>
      <w:bCs/>
      <w:sz w:val="20"/>
      <w:szCs w:val="20"/>
    </w:rPr>
  </w:style>
  <w:style w:type="character" w:customStyle="1" w:styleId="Heading1Char">
    <w:name w:val="Heading 1 Char"/>
    <w:basedOn w:val="DefaultParagraphFont"/>
    <w:link w:val="Heading1"/>
    <w:uiPriority w:val="9"/>
    <w:rsid w:val="00EC77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770C"/>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EC770C"/>
    <w:pPr>
      <w:tabs>
        <w:tab w:val="center" w:pos="4680"/>
        <w:tab w:val="right" w:pos="9360"/>
      </w:tabs>
    </w:pPr>
  </w:style>
  <w:style w:type="character" w:customStyle="1" w:styleId="HeaderChar">
    <w:name w:val="Header Char"/>
    <w:basedOn w:val="DefaultParagraphFont"/>
    <w:link w:val="Header"/>
    <w:uiPriority w:val="99"/>
    <w:rsid w:val="00EC770C"/>
    <w:rPr>
      <w:rFonts w:ascii="Arial" w:eastAsia="Arial" w:hAnsi="Arial" w:cs="Arial"/>
    </w:rPr>
  </w:style>
  <w:style w:type="paragraph" w:styleId="Footer">
    <w:name w:val="footer"/>
    <w:basedOn w:val="Normal"/>
    <w:link w:val="FooterChar"/>
    <w:uiPriority w:val="99"/>
    <w:unhideWhenUsed/>
    <w:rsid w:val="00EC770C"/>
    <w:pPr>
      <w:tabs>
        <w:tab w:val="center" w:pos="4680"/>
        <w:tab w:val="right" w:pos="9360"/>
      </w:tabs>
    </w:pPr>
  </w:style>
  <w:style w:type="character" w:customStyle="1" w:styleId="FooterChar">
    <w:name w:val="Footer Char"/>
    <w:basedOn w:val="DefaultParagraphFont"/>
    <w:link w:val="Footer"/>
    <w:uiPriority w:val="99"/>
    <w:rsid w:val="00EC770C"/>
    <w:rPr>
      <w:rFonts w:ascii="Arial" w:eastAsia="Arial" w:hAnsi="Arial" w:cs="Arial"/>
    </w:rPr>
  </w:style>
  <w:style w:type="character" w:customStyle="1" w:styleId="normaltextrun">
    <w:name w:val="normaltextrun"/>
    <w:basedOn w:val="DefaultParagraphFont"/>
    <w:rsid w:val="00F37FBF"/>
  </w:style>
  <w:style w:type="paragraph" w:styleId="NormalWeb">
    <w:name w:val="Normal (Web)"/>
    <w:basedOn w:val="Normal"/>
    <w:uiPriority w:val="99"/>
    <w:unhideWhenUsed/>
    <w:rsid w:val="00756E88"/>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DE16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16D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23024">
      <w:bodyDiv w:val="1"/>
      <w:marLeft w:val="0"/>
      <w:marRight w:val="0"/>
      <w:marTop w:val="0"/>
      <w:marBottom w:val="0"/>
      <w:divBdr>
        <w:top w:val="none" w:sz="0" w:space="0" w:color="auto"/>
        <w:left w:val="none" w:sz="0" w:space="0" w:color="auto"/>
        <w:bottom w:val="none" w:sz="0" w:space="0" w:color="auto"/>
        <w:right w:val="none" w:sz="0" w:space="0" w:color="auto"/>
      </w:divBdr>
    </w:div>
    <w:div w:id="228196597">
      <w:bodyDiv w:val="1"/>
      <w:marLeft w:val="0"/>
      <w:marRight w:val="0"/>
      <w:marTop w:val="0"/>
      <w:marBottom w:val="0"/>
      <w:divBdr>
        <w:top w:val="none" w:sz="0" w:space="0" w:color="auto"/>
        <w:left w:val="none" w:sz="0" w:space="0" w:color="auto"/>
        <w:bottom w:val="none" w:sz="0" w:space="0" w:color="auto"/>
        <w:right w:val="none" w:sz="0" w:space="0" w:color="auto"/>
      </w:divBdr>
    </w:div>
    <w:div w:id="476068262">
      <w:bodyDiv w:val="1"/>
      <w:marLeft w:val="0"/>
      <w:marRight w:val="0"/>
      <w:marTop w:val="0"/>
      <w:marBottom w:val="0"/>
      <w:divBdr>
        <w:top w:val="none" w:sz="0" w:space="0" w:color="auto"/>
        <w:left w:val="none" w:sz="0" w:space="0" w:color="auto"/>
        <w:bottom w:val="none" w:sz="0" w:space="0" w:color="auto"/>
        <w:right w:val="none" w:sz="0" w:space="0" w:color="auto"/>
      </w:divBdr>
    </w:div>
    <w:div w:id="608858536">
      <w:bodyDiv w:val="1"/>
      <w:marLeft w:val="0"/>
      <w:marRight w:val="0"/>
      <w:marTop w:val="0"/>
      <w:marBottom w:val="0"/>
      <w:divBdr>
        <w:top w:val="none" w:sz="0" w:space="0" w:color="auto"/>
        <w:left w:val="none" w:sz="0" w:space="0" w:color="auto"/>
        <w:bottom w:val="none" w:sz="0" w:space="0" w:color="auto"/>
        <w:right w:val="none" w:sz="0" w:space="0" w:color="auto"/>
      </w:divBdr>
    </w:div>
    <w:div w:id="758409035">
      <w:bodyDiv w:val="1"/>
      <w:marLeft w:val="0"/>
      <w:marRight w:val="0"/>
      <w:marTop w:val="0"/>
      <w:marBottom w:val="0"/>
      <w:divBdr>
        <w:top w:val="none" w:sz="0" w:space="0" w:color="auto"/>
        <w:left w:val="none" w:sz="0" w:space="0" w:color="auto"/>
        <w:bottom w:val="none" w:sz="0" w:space="0" w:color="auto"/>
        <w:right w:val="none" w:sz="0" w:space="0" w:color="auto"/>
      </w:divBdr>
    </w:div>
    <w:div w:id="820729551">
      <w:bodyDiv w:val="1"/>
      <w:marLeft w:val="0"/>
      <w:marRight w:val="0"/>
      <w:marTop w:val="0"/>
      <w:marBottom w:val="0"/>
      <w:divBdr>
        <w:top w:val="none" w:sz="0" w:space="0" w:color="auto"/>
        <w:left w:val="none" w:sz="0" w:space="0" w:color="auto"/>
        <w:bottom w:val="none" w:sz="0" w:space="0" w:color="auto"/>
        <w:right w:val="none" w:sz="0" w:space="0" w:color="auto"/>
      </w:divBdr>
    </w:div>
    <w:div w:id="1013267636">
      <w:bodyDiv w:val="1"/>
      <w:marLeft w:val="0"/>
      <w:marRight w:val="0"/>
      <w:marTop w:val="0"/>
      <w:marBottom w:val="0"/>
      <w:divBdr>
        <w:top w:val="none" w:sz="0" w:space="0" w:color="auto"/>
        <w:left w:val="none" w:sz="0" w:space="0" w:color="auto"/>
        <w:bottom w:val="none" w:sz="0" w:space="0" w:color="auto"/>
        <w:right w:val="none" w:sz="0" w:space="0" w:color="auto"/>
      </w:divBdr>
    </w:div>
    <w:div w:id="1342662908">
      <w:bodyDiv w:val="1"/>
      <w:marLeft w:val="0"/>
      <w:marRight w:val="0"/>
      <w:marTop w:val="0"/>
      <w:marBottom w:val="0"/>
      <w:divBdr>
        <w:top w:val="none" w:sz="0" w:space="0" w:color="auto"/>
        <w:left w:val="none" w:sz="0" w:space="0" w:color="auto"/>
        <w:bottom w:val="none" w:sz="0" w:space="0" w:color="auto"/>
        <w:right w:val="none" w:sz="0" w:space="0" w:color="auto"/>
      </w:divBdr>
    </w:div>
    <w:div w:id="1567909501">
      <w:bodyDiv w:val="1"/>
      <w:marLeft w:val="0"/>
      <w:marRight w:val="0"/>
      <w:marTop w:val="0"/>
      <w:marBottom w:val="0"/>
      <w:divBdr>
        <w:top w:val="none" w:sz="0" w:space="0" w:color="auto"/>
        <w:left w:val="none" w:sz="0" w:space="0" w:color="auto"/>
        <w:bottom w:val="none" w:sz="0" w:space="0" w:color="auto"/>
        <w:right w:val="none" w:sz="0" w:space="0" w:color="auto"/>
      </w:divBdr>
    </w:div>
    <w:div w:id="1605378395">
      <w:bodyDiv w:val="1"/>
      <w:marLeft w:val="0"/>
      <w:marRight w:val="0"/>
      <w:marTop w:val="0"/>
      <w:marBottom w:val="0"/>
      <w:divBdr>
        <w:top w:val="none" w:sz="0" w:space="0" w:color="auto"/>
        <w:left w:val="none" w:sz="0" w:space="0" w:color="auto"/>
        <w:bottom w:val="none" w:sz="0" w:space="0" w:color="auto"/>
        <w:right w:val="none" w:sz="0" w:space="0" w:color="auto"/>
      </w:divBdr>
    </w:div>
    <w:div w:id="1647274312">
      <w:bodyDiv w:val="1"/>
      <w:marLeft w:val="0"/>
      <w:marRight w:val="0"/>
      <w:marTop w:val="0"/>
      <w:marBottom w:val="0"/>
      <w:divBdr>
        <w:top w:val="none" w:sz="0" w:space="0" w:color="auto"/>
        <w:left w:val="none" w:sz="0" w:space="0" w:color="auto"/>
        <w:bottom w:val="none" w:sz="0" w:space="0" w:color="auto"/>
        <w:right w:val="none" w:sz="0" w:space="0" w:color="auto"/>
      </w:divBdr>
    </w:div>
    <w:div w:id="1951693794">
      <w:bodyDiv w:val="1"/>
      <w:marLeft w:val="0"/>
      <w:marRight w:val="0"/>
      <w:marTop w:val="0"/>
      <w:marBottom w:val="0"/>
      <w:divBdr>
        <w:top w:val="none" w:sz="0" w:space="0" w:color="auto"/>
        <w:left w:val="none" w:sz="0" w:space="0" w:color="auto"/>
        <w:bottom w:val="none" w:sz="0" w:space="0" w:color="auto"/>
        <w:right w:val="none" w:sz="0" w:space="0" w:color="auto"/>
      </w:divBdr>
    </w:div>
    <w:div w:id="2078436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684</Words>
  <Characters>3904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M47</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M47</dc:title>
  <dc:subject>Mini FAR part XII clauses</dc:subject>
  <dc:creator>10/16/2017</dc:creator>
  <cp:keywords>M47</cp:keywords>
  <dc:description/>
  <cp:lastModifiedBy>Hayden, Taylor (GE Aviation, US)</cp:lastModifiedBy>
  <cp:revision>2</cp:revision>
  <dcterms:created xsi:type="dcterms:W3CDTF">2021-08-30T18:51:00Z</dcterms:created>
  <dcterms:modified xsi:type="dcterms:W3CDTF">2021-08-30T18:51:00Z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PDFCreator 2.5.3.6324</vt:lpwstr>
  </property>
  <property fmtid="{D5CDD505-2E9C-101B-9397-08002B2CF9AE}" pid="4" name="LastSaved">
    <vt:filetime>2020-12-14T00:00:00Z</vt:filetime>
  </property>
</Properties>
</file>